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5BD84" w14:textId="77777777" w:rsidR="00EA0590" w:rsidRPr="000876B1" w:rsidRDefault="00624E0F" w:rsidP="00EA0590">
      <w:pPr>
        <w:tabs>
          <w:tab w:val="left" w:pos="7740"/>
        </w:tabs>
        <w:autoSpaceDE w:val="0"/>
        <w:autoSpaceDN w:val="0"/>
        <w:adjustRightInd w:val="0"/>
        <w:ind w:right="-830" w:hanging="900"/>
        <w:rPr>
          <w:rFonts w:eastAsia="TimesNewRomanPS-BoldMT"/>
          <w:b/>
          <w:bCs/>
          <w:sz w:val="20"/>
          <w:szCs w:val="20"/>
          <w:lang w:val="sr-Cyrl-CS"/>
        </w:rPr>
      </w:pPr>
      <w:r>
        <w:rPr>
          <w:rFonts w:eastAsia="TimesNewRomanPS-BoldMT"/>
          <w:b/>
          <w:bCs/>
          <w:sz w:val="20"/>
          <w:szCs w:val="20"/>
          <w:lang w:val="sr-Cyrl-CS"/>
        </w:rPr>
        <w:t xml:space="preserve">          </w:t>
      </w:r>
      <w:r w:rsidR="00EA0590" w:rsidRPr="000876B1">
        <w:rPr>
          <w:rFonts w:eastAsia="TimesNewRomanPS-BoldMT"/>
          <w:b/>
          <w:bCs/>
          <w:sz w:val="20"/>
          <w:szCs w:val="20"/>
          <w:lang w:val="sr-Cyrl-CS"/>
        </w:rPr>
        <w:t>УНИВЕРЗИТЕТ У НИШУ</w:t>
      </w:r>
      <w:r w:rsidR="00EA0590">
        <w:rPr>
          <w:rFonts w:eastAsia="TimesNewRomanPS-BoldMT"/>
          <w:b/>
          <w:bCs/>
          <w:sz w:val="20"/>
          <w:szCs w:val="20"/>
          <w:lang w:val="sr-Cyrl-CS"/>
        </w:rPr>
        <w:tab/>
      </w:r>
      <w:r w:rsidR="00EA0590">
        <w:rPr>
          <w:rFonts w:eastAsia="TimesNewRomanPS-BoldMT"/>
          <w:b/>
          <w:bCs/>
          <w:sz w:val="20"/>
          <w:szCs w:val="20"/>
          <w:lang w:val="sr-Cyrl-CS"/>
        </w:rPr>
        <w:tab/>
      </w:r>
      <w:r w:rsidR="00EA0590">
        <w:rPr>
          <w:rFonts w:eastAsia="TimesNewRomanPS-BoldMT"/>
          <w:b/>
          <w:bCs/>
          <w:sz w:val="20"/>
          <w:szCs w:val="20"/>
          <w:lang w:val="sr-Cyrl-CS"/>
        </w:rPr>
        <w:tab/>
      </w:r>
      <w:r w:rsidR="00EA0590">
        <w:rPr>
          <w:rFonts w:eastAsia="TimesNewRomanPS-BoldMT"/>
          <w:b/>
          <w:bCs/>
          <w:color w:val="999999"/>
          <w:sz w:val="20"/>
          <w:szCs w:val="20"/>
          <w:lang w:val="sr-Cyrl-CS"/>
        </w:rPr>
        <w:t>Образац Д2</w:t>
      </w:r>
    </w:p>
    <w:p w14:paraId="36942F72" w14:textId="77777777" w:rsidR="00EA0590" w:rsidRPr="00596D03" w:rsidRDefault="00624E0F" w:rsidP="00EA0590">
      <w:pPr>
        <w:tabs>
          <w:tab w:val="left" w:pos="6660"/>
        </w:tabs>
        <w:autoSpaceDE w:val="0"/>
        <w:autoSpaceDN w:val="0"/>
        <w:adjustRightInd w:val="0"/>
        <w:ind w:hanging="900"/>
        <w:rPr>
          <w:rFonts w:eastAsia="TimesNewRomanPS-BoldMT"/>
          <w:b/>
          <w:bCs/>
          <w:color w:val="999999"/>
          <w:sz w:val="20"/>
          <w:szCs w:val="20"/>
          <w:lang w:val="sr-Cyrl-CS"/>
        </w:rPr>
      </w:pPr>
      <w:r>
        <w:rPr>
          <w:rFonts w:eastAsia="TimesNewRomanPS-BoldMT"/>
          <w:b/>
          <w:bCs/>
          <w:color w:val="999999"/>
          <w:sz w:val="20"/>
          <w:szCs w:val="20"/>
          <w:lang w:val="sr-Cyrl-CS"/>
        </w:rPr>
        <w:t xml:space="preserve">          ФИЛОЗОФСКИ ФАКУЛТЕТ</w:t>
      </w:r>
    </w:p>
    <w:p w14:paraId="6DECEE9F" w14:textId="77777777" w:rsidR="00EA0590" w:rsidRPr="00BC7F22" w:rsidRDefault="00EA0590" w:rsidP="00EA0590">
      <w:pPr>
        <w:rPr>
          <w:sz w:val="6"/>
          <w:szCs w:val="6"/>
          <w:lang w:val="sr-Cyrl-CS"/>
        </w:rPr>
      </w:pPr>
    </w:p>
    <w:tbl>
      <w:tblPr>
        <w:tblW w:w="10786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47"/>
        <w:gridCol w:w="1789"/>
        <w:gridCol w:w="10"/>
        <w:gridCol w:w="3239"/>
        <w:gridCol w:w="720"/>
        <w:gridCol w:w="900"/>
        <w:gridCol w:w="1136"/>
        <w:gridCol w:w="1384"/>
        <w:gridCol w:w="540"/>
        <w:gridCol w:w="521"/>
      </w:tblGrid>
      <w:tr w:rsidR="00EA0590" w:rsidRPr="0082465B" w14:paraId="72BEE216" w14:textId="77777777" w:rsidTr="008E1439">
        <w:trPr>
          <w:trHeight w:val="340"/>
          <w:jc w:val="center"/>
        </w:trPr>
        <w:tc>
          <w:tcPr>
            <w:tcW w:w="10786" w:type="dxa"/>
            <w:gridSpan w:val="10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D9D9D9"/>
            <w:vAlign w:val="center"/>
          </w:tcPr>
          <w:p w14:paraId="358B2B2B" w14:textId="77777777" w:rsidR="00EA0590" w:rsidRPr="0082465B" w:rsidRDefault="00EA0590" w:rsidP="008E1439">
            <w:pPr>
              <w:jc w:val="center"/>
              <w:rPr>
                <w:rFonts w:eastAsia="TimesNewRomanPS-BoldMT"/>
                <w:b/>
                <w:bCs/>
                <w:lang w:val="ru-RU"/>
              </w:rPr>
            </w:pPr>
          </w:p>
          <w:p w14:paraId="3703EF8E" w14:textId="77777777" w:rsidR="00EA0590" w:rsidRPr="0082465B" w:rsidRDefault="00EA0590" w:rsidP="008E1439">
            <w:pPr>
              <w:jc w:val="center"/>
              <w:rPr>
                <w:rFonts w:eastAsia="TimesNewRomanPS-BoldMT"/>
                <w:sz w:val="26"/>
                <w:szCs w:val="26"/>
                <w:lang w:val="sr-Cyrl-CS"/>
              </w:rPr>
            </w:pPr>
            <w:r w:rsidRPr="0082465B">
              <w:rPr>
                <w:rFonts w:eastAsia="TimesNewRomanPS-BoldMT"/>
                <w:b/>
                <w:bCs/>
                <w:sz w:val="26"/>
                <w:szCs w:val="26"/>
                <w:lang w:val="sr-Cyrl-CS"/>
              </w:rPr>
              <w:t>ИЗВЕШТАЈ О НАУЧН</w:t>
            </w:r>
            <w:r w:rsidRPr="0082465B">
              <w:rPr>
                <w:rFonts w:eastAsia="TimesNewRomanPS-BoldMT"/>
                <w:b/>
                <w:bCs/>
                <w:sz w:val="26"/>
                <w:szCs w:val="26"/>
                <w:lang w:val="sr-Cyrl-RS"/>
              </w:rPr>
              <w:t>ОЈ</w:t>
            </w:r>
            <w:r w:rsidRPr="0082465B">
              <w:rPr>
                <w:rFonts w:eastAsia="TimesNewRomanPS-BoldMT"/>
                <w:b/>
                <w:bCs/>
                <w:sz w:val="26"/>
                <w:szCs w:val="26"/>
                <w:lang w:val="sr-Cyrl-CS"/>
              </w:rPr>
              <w:t xml:space="preserve"> ЗАСНОВАНОСТИ ТЕМЕ ДОКТОРСКЕ ДИСЕРТАЦИЈЕ</w:t>
            </w:r>
          </w:p>
          <w:p w14:paraId="2D09F9BF" w14:textId="77777777" w:rsidR="00EA0590" w:rsidRPr="0082465B" w:rsidRDefault="00EA0590" w:rsidP="008E1439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EA0590" w:rsidRPr="0082465B" w14:paraId="7A55681F" w14:textId="77777777" w:rsidTr="008E1439">
        <w:trPr>
          <w:trHeight w:val="170"/>
          <w:jc w:val="center"/>
        </w:trPr>
        <w:tc>
          <w:tcPr>
            <w:tcW w:w="10786" w:type="dxa"/>
            <w:gridSpan w:val="10"/>
            <w:tcBorders>
              <w:top w:val="single" w:sz="18" w:space="0" w:color="808080"/>
              <w:bottom w:val="single" w:sz="18" w:space="0" w:color="808080"/>
            </w:tcBorders>
            <w:shd w:val="clear" w:color="auto" w:fill="auto"/>
            <w:vAlign w:val="center"/>
          </w:tcPr>
          <w:p w14:paraId="1FF44DB2" w14:textId="77777777" w:rsidR="00EA0590" w:rsidRPr="0082465B" w:rsidRDefault="00EA0590" w:rsidP="008E1439">
            <w:pPr>
              <w:rPr>
                <w:lang w:val="ru-RU"/>
              </w:rPr>
            </w:pPr>
          </w:p>
        </w:tc>
      </w:tr>
      <w:tr w:rsidR="00EA0590" w:rsidRPr="0082465B" w14:paraId="4285D86C" w14:textId="77777777" w:rsidTr="008E1439">
        <w:trPr>
          <w:trHeight w:val="340"/>
          <w:jc w:val="center"/>
        </w:trPr>
        <w:tc>
          <w:tcPr>
            <w:tcW w:w="10786" w:type="dxa"/>
            <w:gridSpan w:val="10"/>
            <w:tcBorders>
              <w:top w:val="single" w:sz="18" w:space="0" w:color="808080"/>
            </w:tcBorders>
            <w:shd w:val="clear" w:color="auto" w:fill="D9D9D9"/>
            <w:vAlign w:val="center"/>
          </w:tcPr>
          <w:p w14:paraId="398871E3" w14:textId="77777777" w:rsidR="00EA0590" w:rsidRPr="0082465B" w:rsidRDefault="00EA0590" w:rsidP="008E1439">
            <w:pPr>
              <w:jc w:val="center"/>
              <w:rPr>
                <w:b/>
                <w:lang w:val="sr-Cyrl-CS"/>
              </w:rPr>
            </w:pPr>
            <w:r w:rsidRPr="0082465B">
              <w:rPr>
                <w:b/>
                <w:lang w:val="sr-Cyrl-CS"/>
              </w:rPr>
              <w:t>ПОДАЦИ О КАНДИДАТУ</w:t>
            </w:r>
          </w:p>
        </w:tc>
      </w:tr>
      <w:tr w:rsidR="00EA0590" w:rsidRPr="0082465B" w14:paraId="1CCAD107" w14:textId="77777777" w:rsidTr="008E1439">
        <w:trPr>
          <w:trHeight w:val="227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23CC819A" w14:textId="77777777" w:rsidR="00EA0590" w:rsidRPr="0082465B" w:rsidRDefault="00EA0590" w:rsidP="00624E0F">
            <w:pPr>
              <w:jc w:val="left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sr-Cyrl-CS"/>
              </w:rPr>
              <w:t>Презиме, име једног родитеља и име</w:t>
            </w:r>
          </w:p>
        </w:tc>
        <w:tc>
          <w:tcPr>
            <w:tcW w:w="8440" w:type="dxa"/>
            <w:gridSpan w:val="7"/>
            <w:vAlign w:val="center"/>
          </w:tcPr>
          <w:p w14:paraId="7794A6AA" w14:textId="77777777" w:rsidR="00EA0590" w:rsidRPr="0082465B" w:rsidRDefault="0018324A" w:rsidP="008E1439">
            <w:pPr>
              <w:rPr>
                <w:lang w:val="ru-RU"/>
              </w:rPr>
            </w:pPr>
            <w:r w:rsidRPr="004D754D">
              <w:t>Александра (дев. Крстић) Љубиша Милановић</w:t>
            </w:r>
          </w:p>
        </w:tc>
      </w:tr>
      <w:tr w:rsidR="00EA0590" w:rsidRPr="0082465B" w14:paraId="392F3BF1" w14:textId="77777777" w:rsidTr="008E1439">
        <w:trPr>
          <w:trHeight w:val="227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2BC1CA64" w14:textId="77777777" w:rsidR="00EA0590" w:rsidRPr="0082465B" w:rsidRDefault="00EA0590" w:rsidP="008E1439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Датум и место рођења</w:t>
            </w:r>
          </w:p>
        </w:tc>
        <w:tc>
          <w:tcPr>
            <w:tcW w:w="8440" w:type="dxa"/>
            <w:gridSpan w:val="7"/>
            <w:vAlign w:val="center"/>
          </w:tcPr>
          <w:p w14:paraId="447E37CB" w14:textId="77777777" w:rsidR="00EA0590" w:rsidRPr="0082465B" w:rsidRDefault="0018324A" w:rsidP="008E1439">
            <w:pPr>
              <w:rPr>
                <w:lang w:val="ru-RU"/>
              </w:rPr>
            </w:pPr>
            <w:r w:rsidRPr="004D754D">
              <w:rPr>
                <w:lang w:val="ru-RU"/>
              </w:rPr>
              <w:t>09.</w:t>
            </w:r>
            <w:r w:rsidR="006F2A01">
              <w:rPr>
                <w:lang w:val="sr-Latn-RS"/>
              </w:rPr>
              <w:t xml:space="preserve"> </w:t>
            </w:r>
            <w:r w:rsidRPr="004D754D">
              <w:rPr>
                <w:lang w:val="ru-RU"/>
              </w:rPr>
              <w:t>2.</w:t>
            </w:r>
            <w:r w:rsidR="006F2A01">
              <w:rPr>
                <w:lang w:val="sr-Latn-RS"/>
              </w:rPr>
              <w:t xml:space="preserve"> </w:t>
            </w:r>
            <w:r w:rsidRPr="004D754D">
              <w:rPr>
                <w:lang w:val="ru-RU"/>
              </w:rPr>
              <w:t xml:space="preserve">1989. </w:t>
            </w:r>
            <w:r>
              <w:rPr>
                <w:lang w:val="ru-RU"/>
              </w:rPr>
              <w:t xml:space="preserve">године, </w:t>
            </w:r>
            <w:r w:rsidRPr="004D754D">
              <w:rPr>
                <w:lang w:val="ru-RU"/>
              </w:rPr>
              <w:t>Врање, Србија</w:t>
            </w:r>
          </w:p>
        </w:tc>
      </w:tr>
      <w:tr w:rsidR="00EA0590" w:rsidRPr="0082465B" w14:paraId="07795B6E" w14:textId="77777777" w:rsidTr="008E1439">
        <w:trPr>
          <w:trHeight w:val="340"/>
          <w:jc w:val="center"/>
        </w:trPr>
        <w:tc>
          <w:tcPr>
            <w:tcW w:w="10786" w:type="dxa"/>
            <w:gridSpan w:val="10"/>
            <w:shd w:val="clear" w:color="auto" w:fill="F3F3F3"/>
            <w:vAlign w:val="center"/>
          </w:tcPr>
          <w:p w14:paraId="641B542E" w14:textId="77777777" w:rsidR="00EA0590" w:rsidRPr="0082465B" w:rsidRDefault="00EA0590" w:rsidP="008E1439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Основне студије</w:t>
            </w:r>
          </w:p>
        </w:tc>
      </w:tr>
      <w:tr w:rsidR="00EA0590" w:rsidRPr="0082465B" w14:paraId="74B8B3AB" w14:textId="77777777" w:rsidTr="008E1439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5B541F5" w14:textId="77777777" w:rsidR="00EA0590" w:rsidRPr="0082465B" w:rsidRDefault="00EA0590" w:rsidP="008E1439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7"/>
            <w:vAlign w:val="center"/>
          </w:tcPr>
          <w:p w14:paraId="25B03A48" w14:textId="77777777" w:rsidR="00EA0590" w:rsidRPr="0082465B" w:rsidRDefault="0018324A" w:rsidP="008E1439">
            <w:pPr>
              <w:rPr>
                <w:lang w:val="ru-RU"/>
              </w:rPr>
            </w:pPr>
            <w:r>
              <w:rPr>
                <w:lang w:val="ru-RU"/>
              </w:rPr>
              <w:t>Универзитет у Нишу</w:t>
            </w:r>
          </w:p>
        </w:tc>
      </w:tr>
      <w:tr w:rsidR="00EA0590" w:rsidRPr="0082465B" w14:paraId="7AEA2B3D" w14:textId="77777777" w:rsidTr="008E1439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6CD1AD51" w14:textId="77777777" w:rsidR="00EA0590" w:rsidRPr="0082465B" w:rsidRDefault="00EA0590" w:rsidP="008E1439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7"/>
            <w:vAlign w:val="center"/>
          </w:tcPr>
          <w:p w14:paraId="42F2E28E" w14:textId="77777777" w:rsidR="00EA0590" w:rsidRPr="0082465B" w:rsidRDefault="0018324A" w:rsidP="008E1439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</w:t>
            </w:r>
          </w:p>
        </w:tc>
      </w:tr>
      <w:tr w:rsidR="00EA0590" w:rsidRPr="0082465B" w14:paraId="09A6A0AD" w14:textId="77777777" w:rsidTr="008E1439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489B235" w14:textId="77777777" w:rsidR="00EA0590" w:rsidRPr="0082465B" w:rsidRDefault="00EA0590" w:rsidP="008E1439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7"/>
            <w:vAlign w:val="center"/>
          </w:tcPr>
          <w:p w14:paraId="31865639" w14:textId="77777777" w:rsidR="00EA0590" w:rsidRPr="0082465B" w:rsidRDefault="0018324A" w:rsidP="008E1439">
            <w:pPr>
              <w:rPr>
                <w:lang w:val="ru-RU"/>
              </w:rPr>
            </w:pPr>
            <w:r>
              <w:rPr>
                <w:lang w:val="ru-RU"/>
              </w:rPr>
              <w:t>Педагогија</w:t>
            </w:r>
          </w:p>
        </w:tc>
      </w:tr>
      <w:tr w:rsidR="00EA0590" w:rsidRPr="0082465B" w14:paraId="6C5BF343" w14:textId="77777777" w:rsidTr="008E1439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86EC9C3" w14:textId="77777777" w:rsidR="00EA0590" w:rsidRPr="0082465B" w:rsidRDefault="00EA0590" w:rsidP="008E1439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Звање</w:t>
            </w:r>
          </w:p>
        </w:tc>
        <w:tc>
          <w:tcPr>
            <w:tcW w:w="8440" w:type="dxa"/>
            <w:gridSpan w:val="7"/>
            <w:vAlign w:val="center"/>
          </w:tcPr>
          <w:p w14:paraId="2D3F3188" w14:textId="77777777" w:rsidR="00EA0590" w:rsidRPr="0082465B" w:rsidRDefault="0018324A" w:rsidP="008E1439">
            <w:pPr>
              <w:rPr>
                <w:lang w:val="ru-RU"/>
              </w:rPr>
            </w:pPr>
            <w:r>
              <w:rPr>
                <w:lang w:val="ru-RU"/>
              </w:rPr>
              <w:t>Дипломирани педагог</w:t>
            </w:r>
          </w:p>
        </w:tc>
      </w:tr>
      <w:tr w:rsidR="00EA0590" w:rsidRPr="0082465B" w14:paraId="7EE5A3CB" w14:textId="77777777" w:rsidTr="008E1439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E904EC6" w14:textId="77777777" w:rsidR="00EA0590" w:rsidRPr="0082465B" w:rsidRDefault="00EA0590" w:rsidP="008E1439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7"/>
            <w:vAlign w:val="center"/>
          </w:tcPr>
          <w:p w14:paraId="212AB81B" w14:textId="77777777" w:rsidR="00EA0590" w:rsidRPr="0082465B" w:rsidRDefault="0018324A" w:rsidP="008E1439">
            <w:pPr>
              <w:rPr>
                <w:lang w:val="ru-RU"/>
              </w:rPr>
            </w:pPr>
            <w:r w:rsidRPr="00967184">
              <w:rPr>
                <w:lang w:val="ru-RU"/>
              </w:rPr>
              <w:t>2008</w:t>
            </w:r>
          </w:p>
        </w:tc>
      </w:tr>
      <w:tr w:rsidR="00EA0590" w:rsidRPr="0082465B" w14:paraId="72D069C1" w14:textId="77777777" w:rsidTr="008E1439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4AC9A798" w14:textId="77777777" w:rsidR="00EA0590" w:rsidRPr="0082465B" w:rsidRDefault="00EA0590" w:rsidP="008E1439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завршетка</w:t>
            </w:r>
          </w:p>
        </w:tc>
        <w:tc>
          <w:tcPr>
            <w:tcW w:w="8440" w:type="dxa"/>
            <w:gridSpan w:val="7"/>
            <w:vAlign w:val="center"/>
          </w:tcPr>
          <w:p w14:paraId="352F4E02" w14:textId="77777777" w:rsidR="00EA0590" w:rsidRPr="0082465B" w:rsidRDefault="0018324A" w:rsidP="008E1439">
            <w:pPr>
              <w:rPr>
                <w:lang w:val="ru-RU"/>
              </w:rPr>
            </w:pPr>
            <w:r>
              <w:rPr>
                <w:lang w:val="ru-RU"/>
              </w:rPr>
              <w:t>2012</w:t>
            </w:r>
          </w:p>
        </w:tc>
      </w:tr>
      <w:tr w:rsidR="00EA0590" w:rsidRPr="0082465B" w14:paraId="31442F69" w14:textId="77777777" w:rsidTr="008E1439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407618CF" w14:textId="77777777" w:rsidR="00EA0590" w:rsidRPr="0082465B" w:rsidRDefault="00EA0590" w:rsidP="008E1439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7"/>
            <w:vAlign w:val="center"/>
          </w:tcPr>
          <w:p w14:paraId="0DA2953E" w14:textId="77777777" w:rsidR="00EA0590" w:rsidRPr="0082465B" w:rsidRDefault="0018324A" w:rsidP="008E1439">
            <w:pPr>
              <w:rPr>
                <w:lang w:val="ru-RU"/>
              </w:rPr>
            </w:pPr>
            <w:r w:rsidRPr="00967184">
              <w:rPr>
                <w:lang w:val="ru-RU"/>
              </w:rPr>
              <w:t>8,07</w:t>
            </w:r>
            <w:r>
              <w:rPr>
                <w:lang w:val="ru-RU"/>
              </w:rPr>
              <w:t xml:space="preserve"> (осам и 07/100)</w:t>
            </w:r>
          </w:p>
        </w:tc>
      </w:tr>
      <w:tr w:rsidR="00EA0590" w:rsidRPr="0082465B" w14:paraId="467079EE" w14:textId="77777777" w:rsidTr="008E1439">
        <w:trPr>
          <w:trHeight w:val="340"/>
          <w:jc w:val="center"/>
        </w:trPr>
        <w:tc>
          <w:tcPr>
            <w:tcW w:w="10786" w:type="dxa"/>
            <w:gridSpan w:val="10"/>
            <w:shd w:val="clear" w:color="auto" w:fill="F3F3F3"/>
            <w:vAlign w:val="center"/>
          </w:tcPr>
          <w:p w14:paraId="1FDB985A" w14:textId="77777777" w:rsidR="00EA0590" w:rsidRPr="0082465B" w:rsidRDefault="00EA0590" w:rsidP="008E1439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 xml:space="preserve">Мастер </w:t>
            </w:r>
            <w:r w:rsidRPr="0082465B">
              <w:rPr>
                <w:b/>
                <w:lang w:val="sr-Cyrl-RS"/>
              </w:rPr>
              <w:t xml:space="preserve">студије, </w:t>
            </w:r>
            <w:r w:rsidRPr="0082465B">
              <w:rPr>
                <w:b/>
                <w:lang w:val="ru-RU"/>
              </w:rPr>
              <w:t>магистарске студије</w:t>
            </w:r>
          </w:p>
        </w:tc>
      </w:tr>
      <w:tr w:rsidR="00EA0590" w:rsidRPr="0082465B" w14:paraId="01ABE485" w14:textId="77777777" w:rsidTr="008E1439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64027301" w14:textId="77777777" w:rsidR="00EA0590" w:rsidRPr="0082465B" w:rsidRDefault="00EA0590" w:rsidP="008E1439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7"/>
            <w:vAlign w:val="center"/>
          </w:tcPr>
          <w:p w14:paraId="4D02DB82" w14:textId="77777777" w:rsidR="00EA0590" w:rsidRPr="0082465B" w:rsidRDefault="0018324A" w:rsidP="008E1439">
            <w:pPr>
              <w:rPr>
                <w:lang w:val="ru-RU"/>
              </w:rPr>
            </w:pPr>
            <w:r w:rsidRPr="00531545">
              <w:rPr>
                <w:lang w:val="ru-RU"/>
              </w:rPr>
              <w:t>Универзитет у Нишу</w:t>
            </w:r>
          </w:p>
        </w:tc>
      </w:tr>
      <w:tr w:rsidR="00EA0590" w:rsidRPr="0082465B" w14:paraId="0282F028" w14:textId="77777777" w:rsidTr="008E1439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3A6A7113" w14:textId="77777777" w:rsidR="00EA0590" w:rsidRPr="0082465B" w:rsidRDefault="00EA0590" w:rsidP="008E1439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7"/>
            <w:vAlign w:val="center"/>
          </w:tcPr>
          <w:p w14:paraId="2080A692" w14:textId="77777777" w:rsidR="00EA0590" w:rsidRPr="0082465B" w:rsidRDefault="0018324A" w:rsidP="008E1439">
            <w:pPr>
              <w:rPr>
                <w:lang w:val="ru-RU"/>
              </w:rPr>
            </w:pPr>
            <w:r w:rsidRPr="00531545">
              <w:rPr>
                <w:lang w:val="ru-RU"/>
              </w:rPr>
              <w:t>Филозофски факултет</w:t>
            </w:r>
          </w:p>
        </w:tc>
      </w:tr>
      <w:tr w:rsidR="00EA0590" w:rsidRPr="0082465B" w14:paraId="5EBFE415" w14:textId="77777777" w:rsidTr="008E1439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443DC16" w14:textId="77777777" w:rsidR="00EA0590" w:rsidRPr="0082465B" w:rsidRDefault="00EA0590" w:rsidP="008E1439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7"/>
            <w:vAlign w:val="center"/>
          </w:tcPr>
          <w:p w14:paraId="6A5F229D" w14:textId="77777777" w:rsidR="00EA0590" w:rsidRPr="0082465B" w:rsidRDefault="0018324A" w:rsidP="008E1439">
            <w:pPr>
              <w:rPr>
                <w:lang w:val="ru-RU"/>
              </w:rPr>
            </w:pPr>
            <w:r w:rsidRPr="00531545">
              <w:rPr>
                <w:lang w:val="ru-RU"/>
              </w:rPr>
              <w:t>Педагогија</w:t>
            </w:r>
          </w:p>
        </w:tc>
      </w:tr>
      <w:tr w:rsidR="00EA0590" w:rsidRPr="0082465B" w14:paraId="167F3180" w14:textId="77777777" w:rsidTr="008E1439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29DEDEC" w14:textId="77777777" w:rsidR="00EA0590" w:rsidRPr="0082465B" w:rsidRDefault="00EA0590" w:rsidP="008E1439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Звање</w:t>
            </w:r>
          </w:p>
        </w:tc>
        <w:tc>
          <w:tcPr>
            <w:tcW w:w="8440" w:type="dxa"/>
            <w:gridSpan w:val="7"/>
            <w:vAlign w:val="center"/>
          </w:tcPr>
          <w:p w14:paraId="7FBD269C" w14:textId="77777777" w:rsidR="00EA0590" w:rsidRPr="0082465B" w:rsidRDefault="0018324A" w:rsidP="008E1439">
            <w:pPr>
              <w:rPr>
                <w:lang w:val="ru-RU"/>
              </w:rPr>
            </w:pPr>
            <w:r w:rsidRPr="00531545">
              <w:rPr>
                <w:lang w:val="ru-RU"/>
              </w:rPr>
              <w:t>Мастер педагог</w:t>
            </w:r>
          </w:p>
        </w:tc>
      </w:tr>
      <w:tr w:rsidR="00EA0590" w:rsidRPr="0082465B" w14:paraId="660E8365" w14:textId="77777777" w:rsidTr="008E1439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289ACB9A" w14:textId="77777777" w:rsidR="00EA0590" w:rsidRPr="0082465B" w:rsidRDefault="00EA0590" w:rsidP="008E1439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7"/>
            <w:vAlign w:val="center"/>
          </w:tcPr>
          <w:p w14:paraId="55818D17" w14:textId="77777777" w:rsidR="00EA0590" w:rsidRPr="0082465B" w:rsidRDefault="0018324A" w:rsidP="008E1439">
            <w:pPr>
              <w:rPr>
                <w:lang w:val="ru-RU"/>
              </w:rPr>
            </w:pPr>
            <w:r w:rsidRPr="00531545">
              <w:rPr>
                <w:lang w:val="ru-RU"/>
              </w:rPr>
              <w:t>2013</w:t>
            </w:r>
          </w:p>
        </w:tc>
      </w:tr>
      <w:tr w:rsidR="00EA0590" w:rsidRPr="0082465B" w14:paraId="7D9360B5" w14:textId="77777777" w:rsidTr="008E1439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5D3A3F0" w14:textId="77777777" w:rsidR="00EA0590" w:rsidRPr="0082465B" w:rsidRDefault="00EA0590" w:rsidP="008E1439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завршетка</w:t>
            </w:r>
          </w:p>
        </w:tc>
        <w:tc>
          <w:tcPr>
            <w:tcW w:w="8440" w:type="dxa"/>
            <w:gridSpan w:val="7"/>
            <w:vAlign w:val="center"/>
          </w:tcPr>
          <w:p w14:paraId="33451DC2" w14:textId="77777777" w:rsidR="00EA0590" w:rsidRPr="0082465B" w:rsidRDefault="0018324A" w:rsidP="008E1439">
            <w:pPr>
              <w:rPr>
                <w:lang w:val="ru-RU"/>
              </w:rPr>
            </w:pPr>
            <w:r w:rsidRPr="00531545">
              <w:rPr>
                <w:lang w:val="ru-RU"/>
              </w:rPr>
              <w:t>2015</w:t>
            </w:r>
          </w:p>
        </w:tc>
      </w:tr>
      <w:tr w:rsidR="00EA0590" w:rsidRPr="0082465B" w14:paraId="7081864A" w14:textId="77777777" w:rsidTr="008E1439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9F1F9AA" w14:textId="77777777" w:rsidR="00EA0590" w:rsidRPr="0082465B" w:rsidRDefault="00EA0590" w:rsidP="008E1439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7"/>
            <w:vAlign w:val="center"/>
          </w:tcPr>
          <w:p w14:paraId="7303B69C" w14:textId="77777777" w:rsidR="00EA0590" w:rsidRPr="0082465B" w:rsidRDefault="0018324A" w:rsidP="008E1439">
            <w:pPr>
              <w:rPr>
                <w:lang w:val="ru-RU"/>
              </w:rPr>
            </w:pPr>
            <w:r w:rsidRPr="00531545">
              <w:rPr>
                <w:lang w:val="ru-RU"/>
              </w:rPr>
              <w:t>10,00 (десет и 00/100)</w:t>
            </w:r>
          </w:p>
        </w:tc>
      </w:tr>
      <w:tr w:rsidR="00EA0590" w:rsidRPr="0082465B" w14:paraId="69866DB3" w14:textId="77777777" w:rsidTr="008E1439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3409BC65" w14:textId="77777777" w:rsidR="00EA0590" w:rsidRPr="0082465B" w:rsidRDefault="00EA0590" w:rsidP="008E1439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Научна област</w:t>
            </w:r>
          </w:p>
        </w:tc>
        <w:tc>
          <w:tcPr>
            <w:tcW w:w="8440" w:type="dxa"/>
            <w:gridSpan w:val="7"/>
            <w:vAlign w:val="center"/>
          </w:tcPr>
          <w:p w14:paraId="748D3DBD" w14:textId="77777777" w:rsidR="00EA0590" w:rsidRPr="0082465B" w:rsidRDefault="0018324A" w:rsidP="008E1439">
            <w:pPr>
              <w:rPr>
                <w:lang w:val="ru-RU"/>
              </w:rPr>
            </w:pPr>
            <w:r w:rsidRPr="00531545">
              <w:rPr>
                <w:lang w:val="ru-RU"/>
              </w:rPr>
              <w:t>Педагогија</w:t>
            </w:r>
          </w:p>
        </w:tc>
      </w:tr>
      <w:tr w:rsidR="00EA0590" w:rsidRPr="0082465B" w14:paraId="56EEEC60" w14:textId="77777777" w:rsidTr="008E1439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652B578C" w14:textId="77777777" w:rsidR="00EA0590" w:rsidRPr="0082465B" w:rsidRDefault="00EA0590" w:rsidP="008E1439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Наслов завршног рада</w:t>
            </w:r>
          </w:p>
        </w:tc>
        <w:tc>
          <w:tcPr>
            <w:tcW w:w="8440" w:type="dxa"/>
            <w:gridSpan w:val="7"/>
            <w:vAlign w:val="center"/>
          </w:tcPr>
          <w:p w14:paraId="4ACA88CD" w14:textId="77777777" w:rsidR="00EA0590" w:rsidRPr="0082465B" w:rsidRDefault="0018324A" w:rsidP="008E1439">
            <w:pPr>
              <w:rPr>
                <w:lang w:val="ru-RU"/>
              </w:rPr>
            </w:pPr>
            <w:r>
              <w:t>Педагошке стратегије наставника у подстицању даровитости код ученика</w:t>
            </w:r>
          </w:p>
        </w:tc>
      </w:tr>
      <w:tr w:rsidR="00EA0590" w:rsidRPr="0082465B" w14:paraId="38CB3606" w14:textId="77777777" w:rsidTr="008E1439">
        <w:trPr>
          <w:trHeight w:val="340"/>
          <w:jc w:val="center"/>
        </w:trPr>
        <w:tc>
          <w:tcPr>
            <w:tcW w:w="10786" w:type="dxa"/>
            <w:gridSpan w:val="10"/>
            <w:shd w:val="clear" w:color="auto" w:fill="F3F3F3"/>
            <w:vAlign w:val="center"/>
          </w:tcPr>
          <w:p w14:paraId="26EEF8CA" w14:textId="77777777" w:rsidR="00EA0590" w:rsidRPr="0082465B" w:rsidRDefault="00EA0590" w:rsidP="008E1439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Докторске студије</w:t>
            </w:r>
          </w:p>
        </w:tc>
      </w:tr>
      <w:tr w:rsidR="00EA0590" w:rsidRPr="0082465B" w14:paraId="307FD478" w14:textId="77777777" w:rsidTr="008E1439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66E45972" w14:textId="77777777" w:rsidR="00EA0590" w:rsidRPr="0082465B" w:rsidRDefault="00EA0590" w:rsidP="008E1439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7"/>
            <w:vAlign w:val="center"/>
          </w:tcPr>
          <w:p w14:paraId="61485F60" w14:textId="77777777" w:rsidR="00EA0590" w:rsidRPr="0082465B" w:rsidRDefault="0018324A" w:rsidP="008E1439">
            <w:pPr>
              <w:rPr>
                <w:lang w:val="ru-RU"/>
              </w:rPr>
            </w:pPr>
            <w:r w:rsidRPr="00531545">
              <w:rPr>
                <w:lang w:val="ru-RU"/>
              </w:rPr>
              <w:t>Универзитет у Нишу</w:t>
            </w:r>
          </w:p>
        </w:tc>
      </w:tr>
      <w:tr w:rsidR="00EA0590" w:rsidRPr="0082465B" w14:paraId="3FDABA57" w14:textId="77777777" w:rsidTr="008E1439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3306DD55" w14:textId="77777777" w:rsidR="00EA0590" w:rsidRPr="0082465B" w:rsidRDefault="00EA0590" w:rsidP="008E1439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7"/>
            <w:vAlign w:val="center"/>
          </w:tcPr>
          <w:p w14:paraId="2965C246" w14:textId="77777777" w:rsidR="00EA0590" w:rsidRPr="0082465B" w:rsidRDefault="0018324A" w:rsidP="008E1439">
            <w:pPr>
              <w:rPr>
                <w:lang w:val="ru-RU"/>
              </w:rPr>
            </w:pPr>
            <w:r w:rsidRPr="00531545">
              <w:rPr>
                <w:lang w:val="ru-RU"/>
              </w:rPr>
              <w:t>Филозофски факултет</w:t>
            </w:r>
          </w:p>
        </w:tc>
      </w:tr>
      <w:tr w:rsidR="00EA0590" w:rsidRPr="0082465B" w14:paraId="4F985BE7" w14:textId="77777777" w:rsidTr="008E1439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452B7D50" w14:textId="77777777" w:rsidR="00EA0590" w:rsidRPr="0082465B" w:rsidRDefault="00EA0590" w:rsidP="008E1439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7"/>
            <w:vAlign w:val="center"/>
          </w:tcPr>
          <w:p w14:paraId="30733A82" w14:textId="77777777" w:rsidR="00EA0590" w:rsidRPr="0082465B" w:rsidRDefault="0018324A" w:rsidP="008E1439">
            <w:pPr>
              <w:rPr>
                <w:lang w:val="ru-RU"/>
              </w:rPr>
            </w:pPr>
            <w:r w:rsidRPr="00531545">
              <w:rPr>
                <w:lang w:val="ru-RU"/>
              </w:rPr>
              <w:t>Педагогија</w:t>
            </w:r>
          </w:p>
        </w:tc>
      </w:tr>
      <w:tr w:rsidR="00EA0590" w:rsidRPr="0082465B" w14:paraId="4844D8B8" w14:textId="77777777" w:rsidTr="008E1439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230A7C1F" w14:textId="77777777" w:rsidR="00EA0590" w:rsidRPr="0082465B" w:rsidRDefault="00EA0590" w:rsidP="008E1439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7"/>
            <w:vAlign w:val="center"/>
          </w:tcPr>
          <w:p w14:paraId="64486483" w14:textId="77777777" w:rsidR="00EA0590" w:rsidRPr="0082465B" w:rsidRDefault="0018324A" w:rsidP="0018324A">
            <w:pPr>
              <w:rPr>
                <w:lang w:val="ru-RU"/>
              </w:rPr>
            </w:pPr>
            <w:r w:rsidRPr="00985AE8">
              <w:t>2015. године</w:t>
            </w:r>
            <w:r w:rsidRPr="00985AE8">
              <w:rPr>
                <w:lang w:val="sr-Cyrl-RS"/>
              </w:rPr>
              <w:t xml:space="preserve"> у </w:t>
            </w:r>
            <w:r>
              <w:rPr>
                <w:lang w:val="sr-Cyrl-RS"/>
              </w:rPr>
              <w:t>Новом Саду; 2018</w:t>
            </w:r>
            <w:r w:rsidRPr="00985AE8">
              <w:rPr>
                <w:lang w:val="sr-Cyrl-RS"/>
              </w:rPr>
              <w:t>. године у Нишу</w:t>
            </w:r>
          </w:p>
        </w:tc>
      </w:tr>
      <w:tr w:rsidR="00EA0590" w:rsidRPr="0082465B" w14:paraId="3A3411E4" w14:textId="77777777" w:rsidTr="008E1439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43AF099" w14:textId="77777777" w:rsidR="00EA0590" w:rsidRPr="0082465B" w:rsidRDefault="00EA0590" w:rsidP="008E1439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Остварен број ЕСПБ бодова</w:t>
            </w:r>
          </w:p>
        </w:tc>
        <w:tc>
          <w:tcPr>
            <w:tcW w:w="8440" w:type="dxa"/>
            <w:gridSpan w:val="7"/>
            <w:vAlign w:val="center"/>
          </w:tcPr>
          <w:p w14:paraId="342CEAAF" w14:textId="77777777" w:rsidR="00EA0590" w:rsidRPr="0082465B" w:rsidRDefault="0018324A" w:rsidP="008E1439">
            <w:pPr>
              <w:rPr>
                <w:lang w:val="ru-RU"/>
              </w:rPr>
            </w:pPr>
            <w:r>
              <w:rPr>
                <w:lang w:val="ru-RU"/>
              </w:rPr>
              <w:t>130</w:t>
            </w:r>
            <w:r w:rsidRPr="00985AE8">
              <w:rPr>
                <w:lang w:val="ru-RU"/>
              </w:rPr>
              <w:t xml:space="preserve"> ЕСПБ</w:t>
            </w:r>
          </w:p>
        </w:tc>
      </w:tr>
      <w:tr w:rsidR="00EA0590" w:rsidRPr="0082465B" w14:paraId="2D47BD4B" w14:textId="77777777" w:rsidTr="008E1439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A9F3B41" w14:textId="77777777" w:rsidR="00EA0590" w:rsidRPr="00624E0F" w:rsidRDefault="00EA0590" w:rsidP="008E1439">
            <w:pPr>
              <w:rPr>
                <w:sz w:val="18"/>
                <w:szCs w:val="18"/>
                <w:lang w:val="ru-RU"/>
              </w:rPr>
            </w:pPr>
            <w:r w:rsidRPr="00624E0F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7"/>
            <w:vAlign w:val="center"/>
          </w:tcPr>
          <w:p w14:paraId="49B12E3D" w14:textId="77777777" w:rsidR="00EA0590" w:rsidRPr="009716CE" w:rsidRDefault="00624E0F" w:rsidP="008E1439">
            <w:pPr>
              <w:rPr>
                <w:lang w:val="sr-Cyrl-RS"/>
              </w:rPr>
            </w:pPr>
            <w:r w:rsidRPr="009716CE">
              <w:rPr>
                <w:lang w:val="sr-Cyrl-RS"/>
              </w:rPr>
              <w:t>9,69 (</w:t>
            </w:r>
            <w:r w:rsidR="004F003D" w:rsidRPr="009716CE">
              <w:rPr>
                <w:lang w:val="sr-Cyrl-RS"/>
              </w:rPr>
              <w:t>девет и 69/100)</w:t>
            </w:r>
          </w:p>
        </w:tc>
      </w:tr>
      <w:tr w:rsidR="00EA0590" w:rsidRPr="0082465B" w14:paraId="09202B52" w14:textId="77777777" w:rsidTr="008E1439">
        <w:trPr>
          <w:trHeight w:val="340"/>
          <w:jc w:val="center"/>
        </w:trPr>
        <w:tc>
          <w:tcPr>
            <w:tcW w:w="10786" w:type="dxa"/>
            <w:gridSpan w:val="10"/>
            <w:shd w:val="clear" w:color="auto" w:fill="D9D9D9"/>
            <w:vAlign w:val="center"/>
          </w:tcPr>
          <w:p w14:paraId="3435A5A3" w14:textId="77777777" w:rsidR="00EA0590" w:rsidRPr="0082465B" w:rsidRDefault="00EA0590" w:rsidP="008E1439">
            <w:pPr>
              <w:jc w:val="center"/>
              <w:rPr>
                <w:rFonts w:eastAsia="TimesNewRomanPS-BoldMT"/>
                <w:b/>
                <w:lang w:val="sr-Cyrl-CS"/>
              </w:rPr>
            </w:pPr>
            <w:r w:rsidRPr="0082465B">
              <w:rPr>
                <w:rFonts w:eastAsia="TimesNewRomanPS-BoldMT"/>
                <w:b/>
                <w:lang w:val="sr-Cyrl-CS"/>
              </w:rPr>
              <w:t>ПРИКАЗ НАУЧНИХ И СТРУЧНИХ РАДОВА КАНДИДАТА</w:t>
            </w:r>
          </w:p>
        </w:tc>
      </w:tr>
      <w:tr w:rsidR="00EA0590" w:rsidRPr="0082465B" w14:paraId="7C20AF65" w14:textId="77777777" w:rsidTr="008E1439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322A98BF" w14:textId="77777777" w:rsidR="00EA0590" w:rsidRPr="00F6210E" w:rsidRDefault="00EA0590" w:rsidP="008E1439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F6210E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9178" w:type="dxa"/>
            <w:gridSpan w:val="7"/>
            <w:vAlign w:val="center"/>
          </w:tcPr>
          <w:p w14:paraId="27329475" w14:textId="77777777" w:rsidR="00EA0590" w:rsidRPr="00F6210E" w:rsidRDefault="00EA0590" w:rsidP="008E1439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F6210E">
              <w:rPr>
                <w:b/>
                <w:sz w:val="18"/>
                <w:szCs w:val="18"/>
                <w:lang w:val="ru-RU"/>
              </w:rPr>
              <w:t>Аутор-и, наслов, часопис, година, број волумена, странице</w:t>
            </w:r>
          </w:p>
        </w:tc>
        <w:tc>
          <w:tcPr>
            <w:tcW w:w="1061" w:type="dxa"/>
            <w:gridSpan w:val="2"/>
            <w:vAlign w:val="center"/>
          </w:tcPr>
          <w:p w14:paraId="5A760167" w14:textId="77777777" w:rsidR="00EA0590" w:rsidRPr="0082465B" w:rsidRDefault="00EA0590" w:rsidP="008E1439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Категорија</w:t>
            </w:r>
          </w:p>
        </w:tc>
      </w:tr>
      <w:tr w:rsidR="00EA0590" w:rsidRPr="0082465B" w14:paraId="72495767" w14:textId="77777777" w:rsidTr="008E1439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0CF5B3E0" w14:textId="77777777" w:rsidR="00EA0590" w:rsidRPr="00F6210E" w:rsidRDefault="00EA0590" w:rsidP="008E1439">
            <w:pPr>
              <w:jc w:val="center"/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178" w:type="dxa"/>
            <w:gridSpan w:val="7"/>
            <w:vAlign w:val="center"/>
          </w:tcPr>
          <w:p w14:paraId="4902475B" w14:textId="77777777" w:rsidR="009168A2" w:rsidRPr="00F6210E" w:rsidRDefault="0018324A" w:rsidP="009168A2">
            <w:pPr>
              <w:pStyle w:val="Heading2"/>
              <w:shd w:val="clear" w:color="auto" w:fill="FBFBF3"/>
              <w:spacing w:before="0" w:beforeAutospacing="0" w:after="0" w:afterAutospacing="0"/>
              <w:ind w:right="240"/>
              <w:jc w:val="both"/>
              <w:rPr>
                <w:b w:val="0"/>
                <w:sz w:val="18"/>
                <w:szCs w:val="18"/>
                <w:lang w:val="sr-Cyrl-RS" w:eastAsia="en-US"/>
              </w:rPr>
            </w:pPr>
            <w:proofErr w:type="spellStart"/>
            <w:r w:rsidRPr="00F6210E">
              <w:rPr>
                <w:b w:val="0"/>
                <w:sz w:val="18"/>
                <w:szCs w:val="18"/>
                <w:lang w:eastAsia="en-US"/>
              </w:rPr>
              <w:t>Novković</w:t>
            </w:r>
            <w:proofErr w:type="spellEnd"/>
            <w:r w:rsidR="00754719" w:rsidRPr="00F6210E">
              <w:rPr>
                <w:b w:val="0"/>
                <w:sz w:val="18"/>
                <w:szCs w:val="18"/>
                <w:lang w:val="sr-Cyrl-RS" w:eastAsia="en-US"/>
              </w:rPr>
              <w:t xml:space="preserve"> </w:t>
            </w:r>
            <w:proofErr w:type="spellStart"/>
            <w:r w:rsidRPr="00F6210E">
              <w:rPr>
                <w:b w:val="0"/>
                <w:sz w:val="18"/>
                <w:szCs w:val="18"/>
                <w:lang w:eastAsia="en-US"/>
              </w:rPr>
              <w:t>Cvetković</w:t>
            </w:r>
            <w:proofErr w:type="spellEnd"/>
            <w:r w:rsidRPr="00F6210E">
              <w:rPr>
                <w:b w:val="0"/>
                <w:sz w:val="18"/>
                <w:szCs w:val="18"/>
                <w:lang w:eastAsia="en-US"/>
              </w:rPr>
              <w:t xml:space="preserve">, B., </w:t>
            </w:r>
            <w:proofErr w:type="spellStart"/>
            <w:r w:rsidRPr="00F6210E">
              <w:rPr>
                <w:b w:val="0"/>
                <w:sz w:val="18"/>
                <w:szCs w:val="18"/>
                <w:lang w:eastAsia="en-US"/>
              </w:rPr>
              <w:t>Stanojević</w:t>
            </w:r>
            <w:proofErr w:type="spellEnd"/>
            <w:r w:rsidRPr="00F6210E">
              <w:rPr>
                <w:b w:val="0"/>
                <w:sz w:val="18"/>
                <w:szCs w:val="18"/>
                <w:lang w:eastAsia="en-US"/>
              </w:rPr>
              <w:t xml:space="preserve">, D. </w:t>
            </w:r>
            <w:proofErr w:type="spellStart"/>
            <w:r w:rsidRPr="00F6210E">
              <w:rPr>
                <w:b w:val="0"/>
                <w:sz w:val="18"/>
                <w:szCs w:val="18"/>
                <w:lang w:eastAsia="en-US"/>
              </w:rPr>
              <w:t>i</w:t>
            </w:r>
            <w:proofErr w:type="spellEnd"/>
            <w:r w:rsidRPr="00F6210E">
              <w:rPr>
                <w:b w:val="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6210E">
              <w:rPr>
                <w:sz w:val="18"/>
                <w:szCs w:val="18"/>
                <w:lang w:eastAsia="en-US"/>
              </w:rPr>
              <w:t>Milanović</w:t>
            </w:r>
            <w:proofErr w:type="spellEnd"/>
            <w:r w:rsidRPr="00F6210E">
              <w:rPr>
                <w:sz w:val="18"/>
                <w:szCs w:val="18"/>
                <w:lang w:eastAsia="en-US"/>
              </w:rPr>
              <w:t>, A.</w:t>
            </w:r>
            <w:r w:rsidR="00754719" w:rsidRPr="00F6210E">
              <w:rPr>
                <w:sz w:val="18"/>
                <w:szCs w:val="18"/>
                <w:lang w:val="sr-Cyrl-RS" w:eastAsia="en-US"/>
              </w:rPr>
              <w:t xml:space="preserve"> </w:t>
            </w:r>
            <w:r w:rsidRPr="00F6210E">
              <w:rPr>
                <w:b w:val="0"/>
                <w:sz w:val="18"/>
                <w:szCs w:val="18"/>
                <w:lang w:eastAsia="en-US"/>
              </w:rPr>
              <w:t>(2020). Application of Computers in Teaching</w:t>
            </w:r>
            <w:r w:rsidR="00754719" w:rsidRPr="00F6210E">
              <w:rPr>
                <w:b w:val="0"/>
                <w:sz w:val="18"/>
                <w:szCs w:val="18"/>
                <w:lang w:val="sr-Cyrl-RS" w:eastAsia="en-US"/>
              </w:rPr>
              <w:t xml:space="preserve"> </w:t>
            </w:r>
            <w:r w:rsidRPr="00F6210E">
              <w:rPr>
                <w:b w:val="0"/>
                <w:sz w:val="18"/>
                <w:szCs w:val="18"/>
                <w:lang w:eastAsia="en-US"/>
              </w:rPr>
              <w:t>and Learning</w:t>
            </w:r>
            <w:r w:rsidR="00754719" w:rsidRPr="00F6210E">
              <w:rPr>
                <w:b w:val="0"/>
                <w:sz w:val="18"/>
                <w:szCs w:val="18"/>
                <w:lang w:val="sr-Cyrl-RS" w:eastAsia="en-US"/>
              </w:rPr>
              <w:t xml:space="preserve"> </w:t>
            </w:r>
            <w:r w:rsidRPr="00F6210E">
              <w:rPr>
                <w:b w:val="0"/>
                <w:sz w:val="18"/>
                <w:szCs w:val="18"/>
                <w:lang w:eastAsia="en-US"/>
              </w:rPr>
              <w:t>from</w:t>
            </w:r>
            <w:r w:rsidR="00754719" w:rsidRPr="00F6210E">
              <w:rPr>
                <w:b w:val="0"/>
                <w:sz w:val="18"/>
                <w:szCs w:val="18"/>
                <w:lang w:val="sr-Cyrl-RS" w:eastAsia="en-US"/>
              </w:rPr>
              <w:t xml:space="preserve"> </w:t>
            </w:r>
            <w:r w:rsidRPr="00F6210E">
              <w:rPr>
                <w:b w:val="0"/>
                <w:sz w:val="18"/>
                <w:szCs w:val="18"/>
                <w:lang w:eastAsia="en-US"/>
              </w:rPr>
              <w:t>the Teacher’s Point</w:t>
            </w:r>
            <w:r w:rsidR="00754719" w:rsidRPr="00F6210E">
              <w:rPr>
                <w:b w:val="0"/>
                <w:sz w:val="18"/>
                <w:szCs w:val="18"/>
                <w:lang w:val="sr-Cyrl-RS" w:eastAsia="en-US"/>
              </w:rPr>
              <w:t xml:space="preserve"> </w:t>
            </w:r>
            <w:r w:rsidRPr="00F6210E">
              <w:rPr>
                <w:b w:val="0"/>
                <w:sz w:val="18"/>
                <w:szCs w:val="18"/>
                <w:lang w:eastAsia="en-US"/>
              </w:rPr>
              <w:t xml:space="preserve">of View, </w:t>
            </w:r>
            <w:proofErr w:type="spellStart"/>
            <w:r w:rsidR="009168A2" w:rsidRPr="00F6210E">
              <w:rPr>
                <w:b w:val="0"/>
                <w:i/>
                <w:sz w:val="18"/>
                <w:szCs w:val="18"/>
                <w:lang w:eastAsia="en-US"/>
              </w:rPr>
              <w:t>Teme</w:t>
            </w:r>
            <w:proofErr w:type="spellEnd"/>
            <w:r w:rsidRPr="00F6210E">
              <w:rPr>
                <w:b w:val="0"/>
                <w:sz w:val="18"/>
                <w:szCs w:val="18"/>
                <w:lang w:eastAsia="en-US"/>
              </w:rPr>
              <w:t>,</w:t>
            </w:r>
            <w:r w:rsidR="00754719" w:rsidRPr="00F6210E">
              <w:rPr>
                <w:b w:val="0"/>
                <w:sz w:val="18"/>
                <w:szCs w:val="18"/>
                <w:lang w:val="sr-Cyrl-RS" w:eastAsia="en-US"/>
              </w:rPr>
              <w:t xml:space="preserve"> </w:t>
            </w:r>
            <w:r w:rsidRPr="00F6210E">
              <w:rPr>
                <w:b w:val="0"/>
                <w:bCs w:val="0"/>
                <w:color w:val="111111"/>
                <w:sz w:val="18"/>
                <w:szCs w:val="18"/>
                <w:lang w:eastAsia="en-US"/>
              </w:rPr>
              <w:t xml:space="preserve">44(4), </w:t>
            </w:r>
            <w:r w:rsidRPr="00F6210E">
              <w:rPr>
                <w:b w:val="0"/>
                <w:sz w:val="18"/>
                <w:szCs w:val="18"/>
                <w:lang w:eastAsia="en-US"/>
              </w:rPr>
              <w:t>1231</w:t>
            </w:r>
            <w:r w:rsidRPr="00F6210E">
              <w:rPr>
                <w:color w:val="000000"/>
                <w:sz w:val="18"/>
                <w:szCs w:val="18"/>
                <w:lang w:eastAsia="en-US"/>
              </w:rPr>
              <w:t>–</w:t>
            </w:r>
            <w:r w:rsidRPr="00F6210E">
              <w:rPr>
                <w:b w:val="0"/>
                <w:sz w:val="18"/>
                <w:szCs w:val="18"/>
                <w:lang w:eastAsia="en-US"/>
              </w:rPr>
              <w:t>1244.</w:t>
            </w:r>
            <w:r w:rsidR="00754719" w:rsidRPr="00F6210E">
              <w:rPr>
                <w:b w:val="0"/>
                <w:sz w:val="18"/>
                <w:szCs w:val="18"/>
                <w:lang w:val="sr-Cyrl-RS" w:eastAsia="en-US"/>
              </w:rPr>
              <w:t xml:space="preserve"> </w:t>
            </w:r>
          </w:p>
          <w:p w14:paraId="777843A0" w14:textId="77777777" w:rsidR="0018324A" w:rsidRPr="00F6210E" w:rsidRDefault="0018324A" w:rsidP="009168A2">
            <w:pPr>
              <w:pStyle w:val="Heading2"/>
              <w:shd w:val="clear" w:color="auto" w:fill="FBFBF3"/>
              <w:spacing w:before="0" w:beforeAutospacing="0" w:after="0" w:afterAutospacing="0"/>
              <w:ind w:right="240"/>
              <w:jc w:val="both"/>
              <w:rPr>
                <w:b w:val="0"/>
                <w:sz w:val="18"/>
                <w:szCs w:val="18"/>
                <w:lang w:eastAsia="en-US"/>
              </w:rPr>
            </w:pPr>
            <w:r w:rsidRPr="00F6210E">
              <w:rPr>
                <w:b w:val="0"/>
                <w:sz w:val="18"/>
                <w:szCs w:val="18"/>
                <w:lang w:eastAsia="en-US"/>
              </w:rPr>
              <w:t>ISSN 1820-7804, COBISS.SR-ID 559631, UDK 371.3:004</w:t>
            </w:r>
          </w:p>
          <w:p w14:paraId="5BC73B99" w14:textId="77777777" w:rsidR="00EA0590" w:rsidRPr="00F6210E" w:rsidRDefault="00451BEA" w:rsidP="009168A2">
            <w:pPr>
              <w:rPr>
                <w:sz w:val="18"/>
                <w:szCs w:val="18"/>
                <w:lang w:val="ru-RU"/>
              </w:rPr>
            </w:pPr>
            <w:hyperlink r:id="rId4" w:history="1">
              <w:r w:rsidR="0018324A" w:rsidRPr="00F6210E">
                <w:rPr>
                  <w:rStyle w:val="Hyperlink"/>
                  <w:sz w:val="18"/>
                  <w:szCs w:val="18"/>
                </w:rPr>
                <w:t>https://doi.org/10.22190/TEME190116074N</w:t>
              </w:r>
            </w:hyperlink>
          </w:p>
        </w:tc>
        <w:tc>
          <w:tcPr>
            <w:tcW w:w="1061" w:type="dxa"/>
            <w:gridSpan w:val="2"/>
            <w:vMerge w:val="restart"/>
            <w:vAlign w:val="center"/>
          </w:tcPr>
          <w:p w14:paraId="05463AC5" w14:textId="77777777" w:rsidR="00EA0590" w:rsidRPr="0082465B" w:rsidRDefault="0018324A" w:rsidP="0018324A">
            <w:pPr>
              <w:jc w:val="center"/>
              <w:rPr>
                <w:lang w:val="ru-RU"/>
              </w:rPr>
            </w:pPr>
            <w:r w:rsidRPr="004D754D">
              <w:t>M24</w:t>
            </w:r>
          </w:p>
        </w:tc>
      </w:tr>
      <w:tr w:rsidR="00EA0590" w:rsidRPr="0082465B" w14:paraId="0E2D5089" w14:textId="77777777" w:rsidTr="008E1439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02AB0155" w14:textId="77777777" w:rsidR="00EA0590" w:rsidRPr="00F6210E" w:rsidRDefault="00EA0590" w:rsidP="008E1439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7"/>
          </w:tcPr>
          <w:p w14:paraId="755ED78B" w14:textId="77777777" w:rsidR="00EA0590" w:rsidRPr="00F6210E" w:rsidRDefault="000F42C9" w:rsidP="009168A2">
            <w:pPr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  <w:lang w:val="ru-RU"/>
              </w:rPr>
              <w:t>У раду је акценат стављен на</w:t>
            </w:r>
            <w:r w:rsidR="00926259" w:rsidRPr="00F6210E">
              <w:rPr>
                <w:sz w:val="18"/>
                <w:szCs w:val="18"/>
                <w:lang w:val="ru-RU"/>
              </w:rPr>
              <w:t xml:space="preserve"> предности које нуди настава помоћу рачунара. Циљ истраживања је </w:t>
            </w:r>
            <w:r w:rsidR="008360F4" w:rsidRPr="00F6210E">
              <w:rPr>
                <w:sz w:val="18"/>
                <w:szCs w:val="18"/>
                <w:lang w:val="ru-RU"/>
              </w:rPr>
              <w:t>утврђивање ефеката</w:t>
            </w:r>
            <w:r w:rsidR="00926259" w:rsidRPr="00F6210E">
              <w:rPr>
                <w:sz w:val="18"/>
                <w:szCs w:val="18"/>
                <w:lang w:val="ru-RU"/>
              </w:rPr>
              <w:t xml:space="preserve"> коришћења рачунара у на</w:t>
            </w:r>
            <w:r w:rsidR="008360F4" w:rsidRPr="00F6210E">
              <w:rPr>
                <w:sz w:val="18"/>
                <w:szCs w:val="18"/>
                <w:lang w:val="ru-RU"/>
              </w:rPr>
              <w:t xml:space="preserve">стави према мишљењу наставника. Истражено је </w:t>
            </w:r>
            <w:r w:rsidR="00926259" w:rsidRPr="00F6210E">
              <w:rPr>
                <w:sz w:val="18"/>
                <w:szCs w:val="18"/>
                <w:lang w:val="ru-RU"/>
              </w:rPr>
              <w:t xml:space="preserve">у којој мери је учење посредством рачунара ефикасно и олакшано у </w:t>
            </w:r>
            <w:r w:rsidR="008360F4" w:rsidRPr="00F6210E">
              <w:rPr>
                <w:sz w:val="18"/>
                <w:szCs w:val="18"/>
                <w:lang w:val="ru-RU"/>
              </w:rPr>
              <w:t>односу на традиционално учење</w:t>
            </w:r>
            <w:r w:rsidR="00926259" w:rsidRPr="00F6210E">
              <w:rPr>
                <w:sz w:val="18"/>
                <w:szCs w:val="18"/>
                <w:lang w:val="ru-RU"/>
              </w:rPr>
              <w:t xml:space="preserve">. У раду је коришћена дескриптивна научноистраживачка </w:t>
            </w:r>
            <w:r w:rsidR="00926259" w:rsidRPr="00F6210E">
              <w:rPr>
                <w:sz w:val="18"/>
                <w:szCs w:val="18"/>
                <w:lang w:val="ru-RU"/>
              </w:rPr>
              <w:lastRenderedPageBreak/>
              <w:t xml:space="preserve">метода, од техника су коришћене анкетирање, скалирање и интервјуисање. Истраживачки узорак чинили су наставници основних школа на територији града Врања. Подаци до којих се истраживањем долази говоре у прилог томе да су наставници сагласни да коришћење рачунара у раду са ученицима повећава њихову мотивацију, да </w:t>
            </w:r>
            <w:r w:rsidR="005F4A9D" w:rsidRPr="00F6210E">
              <w:rPr>
                <w:sz w:val="18"/>
                <w:szCs w:val="18"/>
                <w:lang w:val="ru-RU"/>
              </w:rPr>
              <w:t xml:space="preserve">њихова </w:t>
            </w:r>
            <w:r w:rsidR="00926259" w:rsidRPr="00F6210E">
              <w:rPr>
                <w:sz w:val="18"/>
                <w:szCs w:val="18"/>
                <w:lang w:val="ru-RU"/>
              </w:rPr>
              <w:t>примена за потребе наставе и учења олакшава праћење и проверу ученичког постигнућа</w:t>
            </w:r>
            <w:r w:rsidR="005F4A9D" w:rsidRPr="00F6210E">
              <w:rPr>
                <w:sz w:val="18"/>
                <w:szCs w:val="18"/>
                <w:lang w:val="ru-RU"/>
              </w:rPr>
              <w:t>,</w:t>
            </w:r>
            <w:r w:rsidR="00926259" w:rsidRPr="00F6210E">
              <w:rPr>
                <w:sz w:val="18"/>
                <w:szCs w:val="18"/>
                <w:lang w:val="ru-RU"/>
              </w:rPr>
              <w:t xml:space="preserve"> као и да повећава академско постигнуће ученика и омогућава актуелизацију наставних садржаја.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527FDC25" w14:textId="77777777" w:rsidR="00EA0590" w:rsidRPr="0082465B" w:rsidRDefault="00EA0590" w:rsidP="008E1439">
            <w:pPr>
              <w:rPr>
                <w:lang w:val="ru-RU"/>
              </w:rPr>
            </w:pPr>
          </w:p>
        </w:tc>
      </w:tr>
      <w:tr w:rsidR="00EA0590" w:rsidRPr="0082465B" w14:paraId="43C12673" w14:textId="77777777" w:rsidTr="008E1439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7B774A1E" w14:textId="77777777" w:rsidR="00EA0590" w:rsidRPr="00F6210E" w:rsidRDefault="00EA0590" w:rsidP="008E1439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2A636380" w14:textId="77777777" w:rsidR="00EA0590" w:rsidRPr="00F6210E" w:rsidRDefault="00EA0590" w:rsidP="009168A2">
            <w:pPr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41ECF00E" w14:textId="77777777" w:rsidR="00EA0590" w:rsidRPr="00F6210E" w:rsidRDefault="00EA0590" w:rsidP="009168A2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F6210E">
              <w:rPr>
                <w:b/>
                <w:bCs/>
                <w:sz w:val="18"/>
                <w:szCs w:val="18"/>
                <w:highlight w:val="yellow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39C218A9" w14:textId="77777777" w:rsidR="00EA0590" w:rsidRPr="00F6210E" w:rsidRDefault="00EA0590" w:rsidP="009168A2">
            <w:pPr>
              <w:jc w:val="center"/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gridSpan w:val="2"/>
            <w:vAlign w:val="center"/>
          </w:tcPr>
          <w:p w14:paraId="6638E17C" w14:textId="77777777" w:rsidR="00EA0590" w:rsidRPr="00F6210E" w:rsidRDefault="00EA0590" w:rsidP="009168A2">
            <w:pPr>
              <w:jc w:val="center"/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2F2F46F0" w14:textId="77777777" w:rsidR="00EA0590" w:rsidRPr="0082465B" w:rsidRDefault="00EA0590" w:rsidP="008E1439">
            <w:pPr>
              <w:rPr>
                <w:lang w:val="ru-RU"/>
              </w:rPr>
            </w:pPr>
          </w:p>
        </w:tc>
      </w:tr>
      <w:tr w:rsidR="00EA0590" w:rsidRPr="0082465B" w14:paraId="6CF4AD44" w14:textId="77777777" w:rsidTr="0087531D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63ECEBA2" w14:textId="77777777" w:rsidR="00EA0590" w:rsidRPr="00F6210E" w:rsidRDefault="00EA0590" w:rsidP="008E1439">
            <w:pPr>
              <w:jc w:val="center"/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178" w:type="dxa"/>
            <w:gridSpan w:val="7"/>
            <w:vAlign w:val="center"/>
          </w:tcPr>
          <w:p w14:paraId="1318883C" w14:textId="77777777" w:rsidR="009168A2" w:rsidRPr="00F6210E" w:rsidRDefault="0018324A" w:rsidP="009168A2">
            <w:pPr>
              <w:rPr>
                <w:color w:val="111111"/>
                <w:sz w:val="18"/>
                <w:szCs w:val="18"/>
                <w:lang w:val="sr-Cyrl-RS"/>
              </w:rPr>
            </w:pPr>
            <w:r w:rsidRPr="00F6210E">
              <w:rPr>
                <w:b/>
                <w:bCs/>
                <w:color w:val="111111"/>
                <w:sz w:val="18"/>
                <w:szCs w:val="18"/>
              </w:rPr>
              <w:t>Milanović, A.</w:t>
            </w:r>
            <w:r w:rsidRPr="00F6210E">
              <w:rPr>
                <w:color w:val="111111"/>
                <w:sz w:val="18"/>
                <w:szCs w:val="18"/>
              </w:rPr>
              <w:t xml:space="preserve"> i </w:t>
            </w:r>
            <w:r w:rsidRPr="00F6210E">
              <w:rPr>
                <w:sz w:val="18"/>
                <w:szCs w:val="18"/>
              </w:rPr>
              <w:t>Novković</w:t>
            </w:r>
            <w:r w:rsidR="00754719" w:rsidRPr="00F6210E">
              <w:rPr>
                <w:sz w:val="18"/>
                <w:szCs w:val="18"/>
                <w:lang w:val="sr-Cyrl-RS"/>
              </w:rPr>
              <w:t xml:space="preserve"> </w:t>
            </w:r>
            <w:r w:rsidRPr="00F6210E">
              <w:rPr>
                <w:sz w:val="18"/>
                <w:szCs w:val="18"/>
              </w:rPr>
              <w:t>Cvetković, B.</w:t>
            </w:r>
            <w:r w:rsidR="00754719" w:rsidRPr="00F6210E">
              <w:rPr>
                <w:sz w:val="18"/>
                <w:szCs w:val="18"/>
                <w:lang w:val="sr-Cyrl-RS"/>
              </w:rPr>
              <w:t xml:space="preserve"> </w:t>
            </w:r>
            <w:r w:rsidRPr="00F6210E">
              <w:rPr>
                <w:sz w:val="18"/>
                <w:szCs w:val="18"/>
              </w:rPr>
              <w:t xml:space="preserve">(2020). </w:t>
            </w:r>
            <w:r w:rsidRPr="00F6210E">
              <w:rPr>
                <w:color w:val="111111"/>
                <w:sz w:val="18"/>
                <w:szCs w:val="18"/>
              </w:rPr>
              <w:t xml:space="preserve">ICT in Teaching - Once A Choice, Now A Necessity, </w:t>
            </w:r>
            <w:r w:rsidR="00754719" w:rsidRPr="00F6210E">
              <w:rPr>
                <w:i/>
                <w:color w:val="111111"/>
                <w:sz w:val="18"/>
                <w:szCs w:val="18"/>
              </w:rPr>
              <w:t>Fact</w:t>
            </w:r>
            <w:r w:rsidR="00754719" w:rsidRPr="00F6210E">
              <w:rPr>
                <w:i/>
                <w:color w:val="111111"/>
                <w:sz w:val="18"/>
                <w:szCs w:val="18"/>
                <w:lang w:val="sr-Cyrl-RS"/>
              </w:rPr>
              <w:t xml:space="preserve">а </w:t>
            </w:r>
            <w:r w:rsidRPr="00F6210E">
              <w:rPr>
                <w:i/>
                <w:color w:val="111111"/>
                <w:sz w:val="18"/>
                <w:szCs w:val="18"/>
              </w:rPr>
              <w:t>Universitatis, Series: Teaching, Learning and Teacher Education</w:t>
            </w:r>
            <w:r w:rsidRPr="00F6210E">
              <w:rPr>
                <w:color w:val="111111"/>
                <w:sz w:val="18"/>
                <w:szCs w:val="18"/>
              </w:rPr>
              <w:t>, 4(2), 147</w:t>
            </w:r>
            <w:r w:rsidRPr="00F6210E">
              <w:rPr>
                <w:color w:val="000000"/>
                <w:sz w:val="18"/>
                <w:szCs w:val="18"/>
              </w:rPr>
              <w:t>–</w:t>
            </w:r>
            <w:r w:rsidRPr="00F6210E">
              <w:rPr>
                <w:color w:val="111111"/>
                <w:sz w:val="18"/>
                <w:szCs w:val="18"/>
              </w:rPr>
              <w:t>156.</w:t>
            </w:r>
            <w:r w:rsidR="00754719" w:rsidRPr="00F6210E">
              <w:rPr>
                <w:color w:val="111111"/>
                <w:sz w:val="18"/>
                <w:szCs w:val="18"/>
                <w:lang w:val="sr-Cyrl-RS"/>
              </w:rPr>
              <w:t xml:space="preserve"> </w:t>
            </w:r>
          </w:p>
          <w:p w14:paraId="2F2F2C3B" w14:textId="77777777" w:rsidR="009168A2" w:rsidRPr="00F6210E" w:rsidRDefault="0018324A" w:rsidP="009168A2">
            <w:pPr>
              <w:rPr>
                <w:color w:val="111111"/>
                <w:sz w:val="18"/>
                <w:szCs w:val="18"/>
              </w:rPr>
            </w:pPr>
            <w:r w:rsidRPr="00F6210E">
              <w:rPr>
                <w:color w:val="111111"/>
                <w:sz w:val="18"/>
                <w:szCs w:val="18"/>
              </w:rPr>
              <w:t>ISSN 2560-4600</w:t>
            </w:r>
          </w:p>
          <w:p w14:paraId="3FC0A362" w14:textId="77777777" w:rsidR="00EA0590" w:rsidRPr="00F6210E" w:rsidRDefault="00451BEA" w:rsidP="009168A2">
            <w:pPr>
              <w:rPr>
                <w:sz w:val="18"/>
                <w:szCs w:val="18"/>
                <w:lang w:val="ru-RU"/>
              </w:rPr>
            </w:pPr>
            <w:hyperlink r:id="rId5" w:history="1">
              <w:r w:rsidR="009168A2" w:rsidRPr="00F6210E">
                <w:rPr>
                  <w:rStyle w:val="Hyperlink"/>
                  <w:sz w:val="18"/>
                  <w:szCs w:val="18"/>
                </w:rPr>
                <w:t>https://doi.org/10.22190/FUTLTE2002147M</w:t>
              </w:r>
            </w:hyperlink>
          </w:p>
        </w:tc>
        <w:tc>
          <w:tcPr>
            <w:tcW w:w="1061" w:type="dxa"/>
            <w:gridSpan w:val="2"/>
            <w:vMerge w:val="restart"/>
            <w:vAlign w:val="center"/>
          </w:tcPr>
          <w:p w14:paraId="5C48B92C" w14:textId="77777777" w:rsidR="00EA0590" w:rsidRPr="0082465B" w:rsidRDefault="0018324A" w:rsidP="0087531D">
            <w:pPr>
              <w:jc w:val="center"/>
              <w:rPr>
                <w:lang w:val="ru-RU"/>
              </w:rPr>
            </w:pPr>
            <w:r w:rsidRPr="004D754D">
              <w:t>M52</w:t>
            </w:r>
          </w:p>
        </w:tc>
      </w:tr>
      <w:tr w:rsidR="00EA0590" w:rsidRPr="0082465B" w14:paraId="4917CB32" w14:textId="77777777" w:rsidTr="008E1439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01A7F335" w14:textId="77777777" w:rsidR="00EA0590" w:rsidRPr="00F6210E" w:rsidRDefault="00EA0590" w:rsidP="008E1439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7"/>
          </w:tcPr>
          <w:p w14:paraId="2329E224" w14:textId="77777777" w:rsidR="00EA0590" w:rsidRPr="00F6210E" w:rsidRDefault="008360F4" w:rsidP="009168A2">
            <w:pPr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  <w:lang w:val="ru-RU"/>
              </w:rPr>
              <w:t>Полазиште рада аутори налазе у промени и неочекиваним околностима изазваним К</w:t>
            </w:r>
            <w:r w:rsidR="005D306F" w:rsidRPr="00F6210E">
              <w:rPr>
                <w:sz w:val="18"/>
                <w:szCs w:val="18"/>
                <w:lang w:val="ru-RU"/>
              </w:rPr>
              <w:t xml:space="preserve">овидом19, </w:t>
            </w:r>
            <w:r w:rsidRPr="00F6210E">
              <w:rPr>
                <w:sz w:val="18"/>
                <w:szCs w:val="18"/>
                <w:lang w:val="ru-RU"/>
              </w:rPr>
              <w:t>што</w:t>
            </w:r>
            <w:r w:rsidR="005D306F" w:rsidRPr="00F6210E">
              <w:rPr>
                <w:sz w:val="18"/>
                <w:szCs w:val="18"/>
                <w:lang w:val="ru-RU"/>
              </w:rPr>
              <w:t xml:space="preserve"> </w:t>
            </w:r>
            <w:r w:rsidR="00D454B6" w:rsidRPr="00F6210E">
              <w:rPr>
                <w:sz w:val="18"/>
                <w:szCs w:val="18"/>
                <w:lang w:val="ru-RU"/>
              </w:rPr>
              <w:t xml:space="preserve">је </w:t>
            </w:r>
            <w:r w:rsidR="005D306F" w:rsidRPr="00F6210E">
              <w:rPr>
                <w:sz w:val="18"/>
                <w:szCs w:val="18"/>
                <w:lang w:val="ru-RU"/>
              </w:rPr>
              <w:t>наставнике</w:t>
            </w:r>
            <w:r w:rsidRPr="00F6210E">
              <w:rPr>
                <w:sz w:val="18"/>
                <w:szCs w:val="18"/>
                <w:lang w:val="ru-RU"/>
              </w:rPr>
              <w:t xml:space="preserve"> </w:t>
            </w:r>
            <w:r w:rsidR="00D454B6" w:rsidRPr="00F6210E">
              <w:rPr>
                <w:sz w:val="18"/>
                <w:szCs w:val="18"/>
                <w:lang w:val="ru-RU"/>
              </w:rPr>
              <w:t>довело</w:t>
            </w:r>
            <w:r w:rsidR="005D306F" w:rsidRPr="00F6210E">
              <w:rPr>
                <w:sz w:val="18"/>
                <w:szCs w:val="18"/>
                <w:lang w:val="ru-RU"/>
              </w:rPr>
              <w:t xml:space="preserve"> у ситуацију у којој </w:t>
            </w:r>
            <w:r w:rsidRPr="00F6210E">
              <w:rPr>
                <w:sz w:val="18"/>
                <w:szCs w:val="18"/>
                <w:lang w:val="ru-RU"/>
              </w:rPr>
              <w:t>нема</w:t>
            </w:r>
            <w:r w:rsidR="005D306F" w:rsidRPr="00F6210E">
              <w:rPr>
                <w:sz w:val="18"/>
                <w:szCs w:val="18"/>
                <w:lang w:val="ru-RU"/>
              </w:rPr>
              <w:t xml:space="preserve"> места разматрању и могућностима за избегавање коришћења савремених технологија за потребе учења и подучавања. Имајући у виду новонасталу ситуацију која указује на потребу интегрисања ИКТ у наставни процес, циљ овог рада био је да анализом релевантних истраживања укажемо на неминовност пружања додатне подршке наставницима за коришћење ИКТ у настави. У складу са тим, у раду су </w:t>
            </w:r>
            <w:r w:rsidR="00D454B6" w:rsidRPr="00F6210E">
              <w:rPr>
                <w:sz w:val="18"/>
                <w:szCs w:val="18"/>
                <w:lang w:val="ru-RU"/>
              </w:rPr>
              <w:t>истражени</w:t>
            </w:r>
            <w:r w:rsidR="005D306F" w:rsidRPr="00F6210E">
              <w:rPr>
                <w:sz w:val="18"/>
                <w:szCs w:val="18"/>
                <w:lang w:val="ru-RU"/>
              </w:rPr>
              <w:t>: педагошки значај и допринос интегрисања ИКТ у наставни процес, значај улоге наставника у пороцесу интегрисања ИКТ у настави, као и потенцијалне препреке и тешкоће са којима се наставници могу суочити коришћењем ИКТ у настави. Добијени резултати</w:t>
            </w:r>
            <w:r w:rsidRPr="00F6210E">
              <w:rPr>
                <w:sz w:val="18"/>
                <w:szCs w:val="18"/>
                <w:lang w:val="ru-RU"/>
              </w:rPr>
              <w:t xml:space="preserve"> настали анализом постојећих, релевантних теоријских и емпиријских података</w:t>
            </w:r>
            <w:r w:rsidR="005D306F" w:rsidRPr="00F6210E">
              <w:rPr>
                <w:sz w:val="18"/>
                <w:szCs w:val="18"/>
                <w:lang w:val="ru-RU"/>
              </w:rPr>
              <w:t xml:space="preserve"> </w:t>
            </w:r>
            <w:r w:rsidRPr="00F6210E">
              <w:rPr>
                <w:sz w:val="18"/>
                <w:szCs w:val="18"/>
                <w:lang w:val="ru-RU"/>
              </w:rPr>
              <w:t>доприносе</w:t>
            </w:r>
            <w:r w:rsidR="005D306F" w:rsidRPr="00F6210E">
              <w:rPr>
                <w:sz w:val="18"/>
                <w:szCs w:val="18"/>
                <w:lang w:val="ru-RU"/>
              </w:rPr>
              <w:t xml:space="preserve"> целовитијем сагледавању проблема са којима се наставници суочавају </w:t>
            </w:r>
            <w:r w:rsidRPr="00F6210E">
              <w:rPr>
                <w:sz w:val="18"/>
                <w:szCs w:val="18"/>
                <w:lang w:val="ru-RU"/>
              </w:rPr>
              <w:t>у имплементацији  ИКТ у настави. Што резултира</w:t>
            </w:r>
            <w:r w:rsidR="005D306F" w:rsidRPr="00F6210E">
              <w:rPr>
                <w:sz w:val="18"/>
                <w:szCs w:val="18"/>
                <w:lang w:val="ru-RU"/>
              </w:rPr>
              <w:t xml:space="preserve"> одређивање</w:t>
            </w:r>
            <w:r w:rsidRPr="00F6210E">
              <w:rPr>
                <w:sz w:val="18"/>
                <w:szCs w:val="18"/>
                <w:lang w:val="ru-RU"/>
              </w:rPr>
              <w:t>м</w:t>
            </w:r>
            <w:r w:rsidR="005D306F" w:rsidRPr="00F6210E">
              <w:rPr>
                <w:sz w:val="18"/>
                <w:szCs w:val="18"/>
                <w:lang w:val="ru-RU"/>
              </w:rPr>
              <w:t xml:space="preserve"> праваца деловања који би утицали на промене у понашању</w:t>
            </w:r>
            <w:r w:rsidRPr="00F6210E">
              <w:rPr>
                <w:sz w:val="18"/>
                <w:szCs w:val="18"/>
                <w:lang w:val="ru-RU"/>
              </w:rPr>
              <w:t xml:space="preserve"> и поступцима наставника који</w:t>
            </w:r>
            <w:r w:rsidR="005D306F" w:rsidRPr="00F6210E">
              <w:rPr>
                <w:sz w:val="18"/>
                <w:szCs w:val="18"/>
                <w:lang w:val="ru-RU"/>
              </w:rPr>
              <w:t xml:space="preserve"> се односе на прихватање и промовисање рада и учења у ИКТ окружењу, као и предности</w:t>
            </w:r>
            <w:r w:rsidRPr="00F6210E">
              <w:rPr>
                <w:sz w:val="18"/>
                <w:szCs w:val="18"/>
                <w:lang w:val="ru-RU"/>
              </w:rPr>
              <w:t>ма</w:t>
            </w:r>
            <w:r w:rsidR="005D306F" w:rsidRPr="00F6210E">
              <w:rPr>
                <w:sz w:val="18"/>
                <w:szCs w:val="18"/>
                <w:lang w:val="ru-RU"/>
              </w:rPr>
              <w:t xml:space="preserve"> иновирања наставног процеса  коришћењем ИКТ у настави .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18D5472A" w14:textId="77777777" w:rsidR="00EA0590" w:rsidRPr="0082465B" w:rsidRDefault="00EA0590" w:rsidP="008E1439">
            <w:pPr>
              <w:rPr>
                <w:lang w:val="ru-RU"/>
              </w:rPr>
            </w:pPr>
          </w:p>
        </w:tc>
      </w:tr>
      <w:tr w:rsidR="00EA0590" w:rsidRPr="0082465B" w14:paraId="5A301C28" w14:textId="77777777" w:rsidTr="008E1439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30DB1073" w14:textId="77777777" w:rsidR="00EA0590" w:rsidRPr="00F6210E" w:rsidRDefault="00EA0590" w:rsidP="008E1439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5F12CE50" w14:textId="77777777" w:rsidR="00EA0590" w:rsidRPr="00F6210E" w:rsidRDefault="00EA0590" w:rsidP="009168A2">
            <w:pPr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6F81B84A" w14:textId="77777777" w:rsidR="00EA0590" w:rsidRPr="00F6210E" w:rsidRDefault="00EA0590" w:rsidP="009168A2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F6210E">
              <w:rPr>
                <w:b/>
                <w:bCs/>
                <w:sz w:val="18"/>
                <w:szCs w:val="18"/>
                <w:highlight w:val="yellow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5E87D7EE" w14:textId="77777777" w:rsidR="00EA0590" w:rsidRPr="00F6210E" w:rsidRDefault="00EA0590" w:rsidP="009168A2">
            <w:pPr>
              <w:jc w:val="center"/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gridSpan w:val="2"/>
            <w:vAlign w:val="center"/>
          </w:tcPr>
          <w:p w14:paraId="1C73B8C7" w14:textId="77777777" w:rsidR="00EA0590" w:rsidRPr="00F6210E" w:rsidRDefault="00EA0590" w:rsidP="009168A2">
            <w:pPr>
              <w:jc w:val="center"/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1E8472AD" w14:textId="77777777" w:rsidR="00EA0590" w:rsidRPr="0082465B" w:rsidRDefault="00EA0590" w:rsidP="008E1439">
            <w:pPr>
              <w:rPr>
                <w:lang w:val="ru-RU"/>
              </w:rPr>
            </w:pPr>
          </w:p>
        </w:tc>
      </w:tr>
      <w:tr w:rsidR="00EA0590" w:rsidRPr="0082465B" w14:paraId="0D5C03C0" w14:textId="77777777" w:rsidTr="0087531D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02B5050C" w14:textId="77777777" w:rsidR="00EA0590" w:rsidRPr="00F6210E" w:rsidRDefault="00EA0590" w:rsidP="008E1439">
            <w:pPr>
              <w:jc w:val="center"/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178" w:type="dxa"/>
            <w:gridSpan w:val="7"/>
            <w:vAlign w:val="center"/>
          </w:tcPr>
          <w:p w14:paraId="758F6104" w14:textId="77777777" w:rsidR="009168A2" w:rsidRPr="00F6210E" w:rsidRDefault="0018324A" w:rsidP="009168A2">
            <w:pPr>
              <w:rPr>
                <w:sz w:val="18"/>
                <w:szCs w:val="18"/>
                <w:lang w:val="sr-Cyrl-RS"/>
              </w:rPr>
            </w:pPr>
            <w:r w:rsidRPr="00F6210E">
              <w:rPr>
                <w:b/>
                <w:sz w:val="18"/>
                <w:szCs w:val="18"/>
              </w:rPr>
              <w:t>Мilanović, A.</w:t>
            </w:r>
            <w:r w:rsidRPr="00F6210E">
              <w:rPr>
                <w:sz w:val="18"/>
                <w:szCs w:val="18"/>
              </w:rPr>
              <w:t>, Novković Cvetković, B. i Maksimović, J. (2020). Digital Literacy</w:t>
            </w:r>
            <w:r w:rsidRPr="00F6210E">
              <w:rPr>
                <w:b/>
                <w:bCs/>
                <w:color w:val="111111"/>
                <w:sz w:val="18"/>
                <w:szCs w:val="18"/>
              </w:rPr>
              <w:t xml:space="preserve">- </w:t>
            </w:r>
            <w:r w:rsidRPr="00F6210E">
              <w:rPr>
                <w:sz w:val="18"/>
                <w:szCs w:val="18"/>
              </w:rPr>
              <w:t xml:space="preserve">an important component of Future Teacher′s education. </w:t>
            </w:r>
            <w:r w:rsidRPr="00F6210E">
              <w:rPr>
                <w:i/>
                <w:sz w:val="18"/>
                <w:szCs w:val="18"/>
              </w:rPr>
              <w:t xml:space="preserve">Zbornik radova sa međunarodnog naučnog skupa, </w:t>
            </w:r>
            <w:r w:rsidRPr="00F6210E">
              <w:rPr>
                <w:sz w:val="18"/>
                <w:szCs w:val="18"/>
              </w:rPr>
              <w:t>The strategic direction of the development and improvement of higher education quality: challenges and dilemmas, 187</w:t>
            </w:r>
            <w:r w:rsidRPr="00F6210E">
              <w:rPr>
                <w:color w:val="000000"/>
                <w:sz w:val="18"/>
                <w:szCs w:val="18"/>
              </w:rPr>
              <w:t>–</w:t>
            </w:r>
            <w:r w:rsidRPr="00F6210E">
              <w:rPr>
                <w:sz w:val="18"/>
                <w:szCs w:val="18"/>
              </w:rPr>
              <w:t>199. Zbornik uredili Emina Kopas Vukašinović i Aleksandar Stojadinović. Vranje: Pedagoški fakultet, Jagodina: Fakultet pedagoških nauka.</w:t>
            </w:r>
            <w:r w:rsidR="00D025AE" w:rsidRPr="00F6210E">
              <w:rPr>
                <w:sz w:val="18"/>
                <w:szCs w:val="18"/>
                <w:lang w:val="sr-Cyrl-RS"/>
              </w:rPr>
              <w:t xml:space="preserve"> </w:t>
            </w:r>
          </w:p>
          <w:p w14:paraId="1889D77C" w14:textId="77777777" w:rsidR="00EA0590" w:rsidRPr="00F6210E" w:rsidRDefault="0018324A" w:rsidP="009168A2">
            <w:pPr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</w:rPr>
              <w:t>ISBN 978-86-6301-039-0, COBISS.SR-ID 24476169, UDK 316.774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7B1C725B" w14:textId="77777777" w:rsidR="00EA0590" w:rsidRPr="0082465B" w:rsidRDefault="0018324A" w:rsidP="0087531D">
            <w:pPr>
              <w:jc w:val="center"/>
              <w:rPr>
                <w:lang w:val="ru-RU"/>
              </w:rPr>
            </w:pPr>
            <w:r w:rsidRPr="004D754D">
              <w:t>M33</w:t>
            </w:r>
          </w:p>
        </w:tc>
      </w:tr>
      <w:tr w:rsidR="00EA0590" w:rsidRPr="0082465B" w14:paraId="59E63F89" w14:textId="77777777" w:rsidTr="008E1439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1E088570" w14:textId="77777777" w:rsidR="00EA0590" w:rsidRPr="00F6210E" w:rsidRDefault="00EA0590" w:rsidP="008E1439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7"/>
          </w:tcPr>
          <w:p w14:paraId="47F3E55D" w14:textId="77777777" w:rsidR="00EA0590" w:rsidRPr="00F6210E" w:rsidRDefault="008360F4" w:rsidP="009168A2">
            <w:pPr>
              <w:rPr>
                <w:sz w:val="18"/>
                <w:szCs w:val="18"/>
                <w:highlight w:val="yellow"/>
                <w:lang w:val="ru-RU"/>
              </w:rPr>
            </w:pPr>
            <w:r w:rsidRPr="00F6210E">
              <w:rPr>
                <w:sz w:val="18"/>
                <w:szCs w:val="18"/>
                <w:lang w:val="ru-RU"/>
              </w:rPr>
              <w:t>У раду се полази од потребе за сталним усавршавањем и нужношћу иновирања сопствене праксе од стране наставника а све то уз употребу савремене, дигиталне технологије.</w:t>
            </w:r>
            <w:r w:rsidR="005D306F" w:rsidRPr="00F6210E">
              <w:rPr>
                <w:sz w:val="18"/>
                <w:szCs w:val="18"/>
                <w:lang w:val="ru-RU"/>
              </w:rPr>
              <w:t xml:space="preserve"> Сходно </w:t>
            </w:r>
            <w:r w:rsidRPr="00F6210E">
              <w:rPr>
                <w:sz w:val="18"/>
                <w:szCs w:val="18"/>
                <w:lang w:val="ru-RU"/>
              </w:rPr>
              <w:t>наведеном,</w:t>
            </w:r>
            <w:r w:rsidR="005D306F" w:rsidRPr="00F6210E">
              <w:rPr>
                <w:sz w:val="18"/>
                <w:szCs w:val="18"/>
                <w:lang w:val="ru-RU"/>
              </w:rPr>
              <w:t xml:space="preserve"> у раду се анализира дигитална писменост као неизоставна карика у образовању учитеља.</w:t>
            </w:r>
            <w:r w:rsidRPr="00F6210E">
              <w:rPr>
                <w:sz w:val="18"/>
                <w:szCs w:val="18"/>
                <w:lang w:val="ru-RU"/>
              </w:rPr>
              <w:t xml:space="preserve"> </w:t>
            </w:r>
            <w:r w:rsidR="005D306F" w:rsidRPr="00F6210E">
              <w:rPr>
                <w:sz w:val="18"/>
                <w:szCs w:val="18"/>
                <w:lang w:val="ru-RU"/>
              </w:rPr>
              <w:t xml:space="preserve">Циљ рада је </w:t>
            </w:r>
            <w:r w:rsidRPr="00F6210E">
              <w:rPr>
                <w:sz w:val="18"/>
                <w:szCs w:val="18"/>
                <w:lang w:val="ru-RU"/>
              </w:rPr>
              <w:t>указивање</w:t>
            </w:r>
            <w:r w:rsidR="005D306F" w:rsidRPr="00F6210E">
              <w:rPr>
                <w:sz w:val="18"/>
                <w:szCs w:val="18"/>
                <w:lang w:val="ru-RU"/>
              </w:rPr>
              <w:t xml:space="preserve"> на потребу и значај дигиталне писмености као важног сегемента при образовању студената</w:t>
            </w:r>
            <w:r w:rsidR="00F01D19" w:rsidRPr="00F6210E">
              <w:rPr>
                <w:sz w:val="18"/>
                <w:szCs w:val="18"/>
                <w:lang w:val="ru-RU"/>
              </w:rPr>
              <w:t xml:space="preserve"> </w:t>
            </w:r>
            <w:r w:rsidR="005D306F" w:rsidRPr="00F6210E">
              <w:rPr>
                <w:sz w:val="18"/>
                <w:szCs w:val="18"/>
                <w:lang w:val="ru-RU"/>
              </w:rPr>
              <w:t>- будућих учитеља. Задаци истраживања су следећи: 1. Анализа савремених облика писмености</w:t>
            </w:r>
            <w:r w:rsidR="00F01D19" w:rsidRPr="00F6210E">
              <w:rPr>
                <w:sz w:val="18"/>
                <w:szCs w:val="18"/>
                <w:lang w:val="ru-RU"/>
              </w:rPr>
              <w:t>,</w:t>
            </w:r>
            <w:r w:rsidR="005D306F" w:rsidRPr="00F6210E">
              <w:rPr>
                <w:sz w:val="18"/>
                <w:szCs w:val="18"/>
                <w:lang w:val="ru-RU"/>
              </w:rPr>
              <w:t xml:space="preserve"> при чему је акценат стављен на дигиталну писменост као једну од њих; 2. Могућности и допринос које дигитална писменост има када је реч о учењу и раду студената- будућих учитеља; 3. Издвајање потенцијалних начина за стицање дигиталне писмености (у настави и ван ње) од стране студената. Методом теоријске анализе и техником анализе садржаја </w:t>
            </w:r>
            <w:r w:rsidRPr="00F6210E">
              <w:rPr>
                <w:sz w:val="18"/>
                <w:szCs w:val="18"/>
                <w:lang w:val="ru-RU"/>
              </w:rPr>
              <w:t>одговорено је</w:t>
            </w:r>
            <w:r w:rsidR="005D306F" w:rsidRPr="00F6210E">
              <w:rPr>
                <w:sz w:val="18"/>
                <w:szCs w:val="18"/>
                <w:lang w:val="ru-RU"/>
              </w:rPr>
              <w:t xml:space="preserve"> на постављене задатке </w:t>
            </w:r>
            <w:r w:rsidRPr="00F6210E">
              <w:rPr>
                <w:sz w:val="18"/>
                <w:szCs w:val="18"/>
                <w:lang w:val="ru-RU"/>
              </w:rPr>
              <w:t>којима се указује на</w:t>
            </w:r>
            <w:r w:rsidR="005D306F" w:rsidRPr="00F6210E">
              <w:rPr>
                <w:sz w:val="18"/>
                <w:szCs w:val="18"/>
                <w:lang w:val="ru-RU"/>
              </w:rPr>
              <w:t xml:space="preserve"> актуелан образовни проблем. Досадашња истраживања и образовна пракса показују да студенти иако долазе из дигитално опремљених средина, са задовољавајућим нивоом дигиталних вештина</w:t>
            </w:r>
            <w:r w:rsidR="00F01D19" w:rsidRPr="00F6210E">
              <w:rPr>
                <w:sz w:val="18"/>
                <w:szCs w:val="18"/>
                <w:lang w:val="ru-RU"/>
              </w:rPr>
              <w:t>,</w:t>
            </w:r>
            <w:r w:rsidR="005D306F" w:rsidRPr="00F6210E">
              <w:rPr>
                <w:sz w:val="18"/>
                <w:szCs w:val="18"/>
                <w:lang w:val="ru-RU"/>
              </w:rPr>
              <w:t xml:space="preserve"> ипак имају потребу за подршком и учењем које ће њихову дигиталну писменост подићи на виши ниво. 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72B30C28" w14:textId="77777777" w:rsidR="00EA0590" w:rsidRPr="0082465B" w:rsidRDefault="00EA0590" w:rsidP="008E1439">
            <w:pPr>
              <w:rPr>
                <w:lang w:val="ru-RU"/>
              </w:rPr>
            </w:pPr>
          </w:p>
        </w:tc>
      </w:tr>
      <w:tr w:rsidR="00EA0590" w:rsidRPr="0082465B" w14:paraId="596FD892" w14:textId="77777777" w:rsidTr="008E1439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71203EE9" w14:textId="77777777" w:rsidR="00EA0590" w:rsidRPr="00F6210E" w:rsidRDefault="00EA0590" w:rsidP="008E1439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7D1A702B" w14:textId="77777777" w:rsidR="00EA0590" w:rsidRPr="00F6210E" w:rsidRDefault="00EA0590" w:rsidP="009168A2">
            <w:pPr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7A4E27D0" w14:textId="77777777" w:rsidR="00EA0590" w:rsidRPr="00F6210E" w:rsidRDefault="00EA0590" w:rsidP="009168A2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F6210E">
              <w:rPr>
                <w:b/>
                <w:bCs/>
                <w:sz w:val="18"/>
                <w:szCs w:val="18"/>
                <w:highlight w:val="yellow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235A630E" w14:textId="77777777" w:rsidR="00EA0590" w:rsidRPr="00F6210E" w:rsidRDefault="00EA0590" w:rsidP="009168A2">
            <w:pPr>
              <w:jc w:val="center"/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gridSpan w:val="2"/>
            <w:vAlign w:val="center"/>
          </w:tcPr>
          <w:p w14:paraId="5D96D9BD" w14:textId="77777777" w:rsidR="00EA0590" w:rsidRPr="00F6210E" w:rsidRDefault="00EA0590" w:rsidP="009168A2">
            <w:pPr>
              <w:jc w:val="center"/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7F2C16B3" w14:textId="77777777" w:rsidR="00EA0590" w:rsidRPr="0082465B" w:rsidRDefault="00EA0590" w:rsidP="008E1439">
            <w:pPr>
              <w:rPr>
                <w:lang w:val="ru-RU"/>
              </w:rPr>
            </w:pPr>
          </w:p>
        </w:tc>
      </w:tr>
      <w:tr w:rsidR="00EA0590" w:rsidRPr="0082465B" w14:paraId="366870D4" w14:textId="77777777" w:rsidTr="0087531D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32D44982" w14:textId="77777777" w:rsidR="00EA0590" w:rsidRPr="00F6210E" w:rsidRDefault="00EA0590" w:rsidP="008E1439">
            <w:pPr>
              <w:jc w:val="center"/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9178" w:type="dxa"/>
            <w:gridSpan w:val="7"/>
            <w:vAlign w:val="center"/>
          </w:tcPr>
          <w:p w14:paraId="1514CC5B" w14:textId="77777777" w:rsidR="009168A2" w:rsidRPr="00F6210E" w:rsidRDefault="0018324A" w:rsidP="009168A2">
            <w:pPr>
              <w:rPr>
                <w:sz w:val="18"/>
                <w:szCs w:val="18"/>
              </w:rPr>
            </w:pPr>
            <w:r w:rsidRPr="00F6210E">
              <w:rPr>
                <w:sz w:val="18"/>
                <w:szCs w:val="18"/>
              </w:rPr>
              <w:t>Maksimović, J. i </w:t>
            </w:r>
            <w:r w:rsidRPr="00F6210E">
              <w:rPr>
                <w:b/>
                <w:bCs/>
                <w:sz w:val="18"/>
                <w:szCs w:val="18"/>
              </w:rPr>
              <w:t>Milanović, A.</w:t>
            </w:r>
            <w:r w:rsidRPr="00F6210E">
              <w:rPr>
                <w:sz w:val="18"/>
                <w:szCs w:val="18"/>
              </w:rPr>
              <w:t> (2020). Constructivist approach in the research of gifted</w:t>
            </w:r>
            <w:r w:rsidR="00122BB3" w:rsidRPr="00F6210E">
              <w:rPr>
                <w:sz w:val="18"/>
                <w:szCs w:val="18"/>
              </w:rPr>
              <w:t xml:space="preserve"> </w:t>
            </w:r>
            <w:r w:rsidRPr="00F6210E">
              <w:rPr>
                <w:sz w:val="18"/>
                <w:szCs w:val="18"/>
              </w:rPr>
              <w:t>characteristics, significance and benefits. </w:t>
            </w:r>
            <w:r w:rsidRPr="00F6210E">
              <w:rPr>
                <w:i/>
                <w:iCs/>
                <w:sz w:val="18"/>
                <w:szCs w:val="18"/>
              </w:rPr>
              <w:t>Tematski</w:t>
            </w:r>
            <w:r w:rsidR="00122BB3" w:rsidRPr="00F6210E">
              <w:rPr>
                <w:i/>
                <w:iCs/>
                <w:sz w:val="18"/>
                <w:szCs w:val="18"/>
              </w:rPr>
              <w:t xml:space="preserve"> </w:t>
            </w:r>
            <w:r w:rsidRPr="00F6210E">
              <w:rPr>
                <w:i/>
                <w:iCs/>
                <w:sz w:val="18"/>
                <w:szCs w:val="18"/>
              </w:rPr>
              <w:t>zbornik broj 25 sa</w:t>
            </w:r>
            <w:r w:rsidR="00122BB3" w:rsidRPr="00F6210E">
              <w:rPr>
                <w:i/>
                <w:iCs/>
                <w:sz w:val="18"/>
                <w:szCs w:val="18"/>
              </w:rPr>
              <w:t xml:space="preserve"> </w:t>
            </w:r>
            <w:r w:rsidRPr="00F6210E">
              <w:rPr>
                <w:i/>
                <w:iCs/>
                <w:sz w:val="18"/>
                <w:szCs w:val="18"/>
              </w:rPr>
              <w:t>međunarodnog</w:t>
            </w:r>
            <w:r w:rsidR="00122BB3" w:rsidRPr="00F6210E">
              <w:rPr>
                <w:i/>
                <w:iCs/>
                <w:sz w:val="18"/>
                <w:szCs w:val="18"/>
              </w:rPr>
              <w:t xml:space="preserve"> </w:t>
            </w:r>
            <w:r w:rsidRPr="00F6210E">
              <w:rPr>
                <w:i/>
                <w:iCs/>
                <w:sz w:val="18"/>
                <w:szCs w:val="18"/>
              </w:rPr>
              <w:t>naučnog</w:t>
            </w:r>
            <w:r w:rsidR="00122BB3" w:rsidRPr="00F6210E">
              <w:rPr>
                <w:i/>
                <w:iCs/>
                <w:sz w:val="18"/>
                <w:szCs w:val="18"/>
              </w:rPr>
              <w:t xml:space="preserve"> </w:t>
            </w:r>
            <w:r w:rsidRPr="00F6210E">
              <w:rPr>
                <w:i/>
                <w:iCs/>
                <w:sz w:val="18"/>
                <w:szCs w:val="18"/>
              </w:rPr>
              <w:t>skupa: Kompleksnost</w:t>
            </w:r>
            <w:r w:rsidR="00D025AE" w:rsidRPr="00F6210E">
              <w:rPr>
                <w:i/>
                <w:iCs/>
                <w:sz w:val="18"/>
                <w:szCs w:val="18"/>
                <w:lang w:val="sr-Cyrl-RS"/>
              </w:rPr>
              <w:t xml:space="preserve"> </w:t>
            </w:r>
            <w:r w:rsidRPr="00F6210E">
              <w:rPr>
                <w:i/>
                <w:iCs/>
                <w:sz w:val="18"/>
                <w:szCs w:val="18"/>
              </w:rPr>
              <w:t>fenomena</w:t>
            </w:r>
            <w:r w:rsidR="00D025AE" w:rsidRPr="00F6210E">
              <w:rPr>
                <w:i/>
                <w:iCs/>
                <w:sz w:val="18"/>
                <w:szCs w:val="18"/>
                <w:lang w:val="sr-Cyrl-RS"/>
              </w:rPr>
              <w:t xml:space="preserve"> </w:t>
            </w:r>
            <w:r w:rsidRPr="00F6210E">
              <w:rPr>
                <w:i/>
                <w:iCs/>
                <w:sz w:val="18"/>
                <w:szCs w:val="18"/>
              </w:rPr>
              <w:t>darovitosti i kreativnosti-izazovi: pojedinac i društvo</w:t>
            </w:r>
            <w:r w:rsidRPr="00F6210E">
              <w:rPr>
                <w:sz w:val="18"/>
                <w:szCs w:val="18"/>
              </w:rPr>
              <w:t>, 265–278. Vršac: Visoka škola za obrazovanje</w:t>
            </w:r>
            <w:r w:rsidR="00D025AE" w:rsidRPr="00F6210E">
              <w:rPr>
                <w:sz w:val="18"/>
                <w:szCs w:val="18"/>
                <w:lang w:val="sr-Cyrl-RS"/>
              </w:rPr>
              <w:t xml:space="preserve"> </w:t>
            </w:r>
            <w:r w:rsidRPr="00F6210E">
              <w:rPr>
                <w:sz w:val="18"/>
                <w:szCs w:val="18"/>
              </w:rPr>
              <w:t>vaspitača</w:t>
            </w:r>
            <w:r w:rsidR="00D025AE" w:rsidRPr="00F6210E">
              <w:rPr>
                <w:sz w:val="18"/>
                <w:szCs w:val="18"/>
                <w:lang w:val="sr-Cyrl-RS"/>
              </w:rPr>
              <w:t xml:space="preserve"> </w:t>
            </w:r>
            <w:r w:rsidRPr="00F6210E">
              <w:rPr>
                <w:sz w:val="18"/>
                <w:szCs w:val="18"/>
              </w:rPr>
              <w:t>Mihailo Pavlov; Arad, Rumunija: Univerzitet De Vest Aurel</w:t>
            </w:r>
            <w:r w:rsidR="00D025AE" w:rsidRPr="00F6210E">
              <w:rPr>
                <w:sz w:val="18"/>
                <w:szCs w:val="18"/>
                <w:lang w:val="sr-Cyrl-RS"/>
              </w:rPr>
              <w:t xml:space="preserve"> </w:t>
            </w:r>
            <w:r w:rsidRPr="00F6210E">
              <w:rPr>
                <w:sz w:val="18"/>
                <w:szCs w:val="18"/>
              </w:rPr>
              <w:t>Vlajku. Zbornik</w:t>
            </w:r>
            <w:r w:rsidR="00D025AE" w:rsidRPr="00F6210E">
              <w:rPr>
                <w:sz w:val="18"/>
                <w:szCs w:val="18"/>
                <w:lang w:val="sr-Cyrl-RS"/>
              </w:rPr>
              <w:t xml:space="preserve"> </w:t>
            </w:r>
            <w:r w:rsidRPr="00F6210E">
              <w:rPr>
                <w:sz w:val="18"/>
                <w:szCs w:val="18"/>
              </w:rPr>
              <w:t>uredili</w:t>
            </w:r>
            <w:r w:rsidR="00D025AE" w:rsidRPr="00F6210E">
              <w:rPr>
                <w:sz w:val="18"/>
                <w:szCs w:val="18"/>
                <w:lang w:val="sr-Cyrl-RS"/>
              </w:rPr>
              <w:t xml:space="preserve"> </w:t>
            </w:r>
            <w:r w:rsidRPr="00F6210E">
              <w:rPr>
                <w:sz w:val="18"/>
                <w:szCs w:val="18"/>
              </w:rPr>
              <w:t>Grozdanka</w:t>
            </w:r>
            <w:r w:rsidR="00D025AE" w:rsidRPr="00F6210E">
              <w:rPr>
                <w:sz w:val="18"/>
                <w:szCs w:val="18"/>
                <w:lang w:val="sr-Cyrl-RS"/>
              </w:rPr>
              <w:t xml:space="preserve"> </w:t>
            </w:r>
            <w:r w:rsidRPr="00F6210E">
              <w:rPr>
                <w:sz w:val="18"/>
                <w:szCs w:val="18"/>
              </w:rPr>
              <w:t>Gojkov i Aleksandar</w:t>
            </w:r>
            <w:r w:rsidR="00D025AE" w:rsidRPr="00F6210E">
              <w:rPr>
                <w:sz w:val="18"/>
                <w:szCs w:val="18"/>
                <w:lang w:val="sr-Cyrl-RS"/>
              </w:rPr>
              <w:t xml:space="preserve"> </w:t>
            </w:r>
            <w:r w:rsidRPr="00F6210E">
              <w:rPr>
                <w:sz w:val="18"/>
                <w:szCs w:val="18"/>
              </w:rPr>
              <w:t xml:space="preserve">Stojanović. </w:t>
            </w:r>
          </w:p>
          <w:p w14:paraId="59F08783" w14:textId="77777777" w:rsidR="00EA0590" w:rsidRPr="00F6210E" w:rsidRDefault="0018324A" w:rsidP="009168A2">
            <w:pPr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</w:rPr>
              <w:t>UDK: 37.022, ISBN 978-86-7372-281-8, 25, ISSN 1820-1911, UDK 371.95, CIP 159.928053.5(082), COBISS.SR-ID 15815945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7B8B9F3A" w14:textId="77777777" w:rsidR="00EA0590" w:rsidRPr="0082465B" w:rsidRDefault="0018324A" w:rsidP="0087531D">
            <w:pPr>
              <w:jc w:val="center"/>
              <w:rPr>
                <w:lang w:val="ru-RU"/>
              </w:rPr>
            </w:pPr>
            <w:r w:rsidRPr="004D754D">
              <w:t>M33</w:t>
            </w:r>
          </w:p>
        </w:tc>
      </w:tr>
      <w:tr w:rsidR="00EA0590" w:rsidRPr="0082465B" w14:paraId="20890327" w14:textId="77777777" w:rsidTr="008E1439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5FBD3920" w14:textId="77777777" w:rsidR="00EA0590" w:rsidRPr="00F6210E" w:rsidRDefault="00EA0590" w:rsidP="008E1439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7"/>
          </w:tcPr>
          <w:p w14:paraId="79455EBB" w14:textId="77777777" w:rsidR="00EA0590" w:rsidRPr="00F6210E" w:rsidRDefault="000E6523" w:rsidP="009168A2">
            <w:pPr>
              <w:rPr>
                <w:sz w:val="18"/>
                <w:szCs w:val="18"/>
                <w:lang w:val="sr-Latn-RS"/>
              </w:rPr>
            </w:pPr>
            <w:r w:rsidRPr="00F6210E">
              <w:rPr>
                <w:sz w:val="18"/>
                <w:szCs w:val="18"/>
                <w:lang w:val="sr-Cyrl-RS"/>
              </w:rPr>
              <w:t>У раду је акценат стављен на к</w:t>
            </w:r>
            <w:r w:rsidR="00747E62" w:rsidRPr="00F6210E">
              <w:rPr>
                <w:sz w:val="18"/>
                <w:szCs w:val="18"/>
                <w:lang w:val="sr-Latn-RS"/>
              </w:rPr>
              <w:t xml:space="preserve">онструктивизам </w:t>
            </w:r>
            <w:r w:rsidRPr="00F6210E">
              <w:rPr>
                <w:sz w:val="18"/>
                <w:szCs w:val="18"/>
                <w:lang w:val="sr-Cyrl-RS"/>
              </w:rPr>
              <w:t>као</w:t>
            </w:r>
            <w:r w:rsidR="00747E62" w:rsidRPr="00F6210E">
              <w:rPr>
                <w:sz w:val="18"/>
                <w:szCs w:val="18"/>
                <w:lang w:val="sr-Latn-RS"/>
              </w:rPr>
              <w:t xml:space="preserve"> начин учења, промишљања и увиђања нових појава и процеса са тежњом </w:t>
            </w:r>
            <w:r w:rsidR="000F42C9" w:rsidRPr="00F6210E">
              <w:rPr>
                <w:sz w:val="18"/>
                <w:szCs w:val="18"/>
                <w:lang w:val="sr-Cyrl-RS"/>
              </w:rPr>
              <w:t>развоја</w:t>
            </w:r>
            <w:r w:rsidR="00747E62" w:rsidRPr="00F6210E">
              <w:rPr>
                <w:sz w:val="18"/>
                <w:szCs w:val="18"/>
                <w:lang w:val="sr-Latn-RS"/>
              </w:rPr>
              <w:t xml:space="preserve"> радн</w:t>
            </w:r>
            <w:r w:rsidR="000F42C9" w:rsidRPr="00F6210E">
              <w:rPr>
                <w:sz w:val="18"/>
                <w:szCs w:val="18"/>
                <w:lang w:val="sr-Cyrl-RS"/>
              </w:rPr>
              <w:t>их</w:t>
            </w:r>
            <w:r w:rsidR="000F42C9" w:rsidRPr="00F6210E">
              <w:rPr>
                <w:sz w:val="18"/>
                <w:szCs w:val="18"/>
                <w:lang w:val="sr-Latn-RS"/>
              </w:rPr>
              <w:t xml:space="preserve"> и техничк</w:t>
            </w:r>
            <w:r w:rsidR="000F42C9" w:rsidRPr="00F6210E">
              <w:rPr>
                <w:sz w:val="18"/>
                <w:szCs w:val="18"/>
                <w:lang w:val="sr-Cyrl-RS"/>
              </w:rPr>
              <w:t>их</w:t>
            </w:r>
            <w:r w:rsidR="000F42C9" w:rsidRPr="00F6210E">
              <w:rPr>
                <w:sz w:val="18"/>
                <w:szCs w:val="18"/>
                <w:lang w:val="sr-Latn-RS"/>
              </w:rPr>
              <w:t xml:space="preserve"> вештин</w:t>
            </w:r>
            <w:r w:rsidR="000F42C9" w:rsidRPr="00F6210E">
              <w:rPr>
                <w:sz w:val="18"/>
                <w:szCs w:val="18"/>
                <w:lang w:val="sr-Cyrl-RS"/>
              </w:rPr>
              <w:t>а</w:t>
            </w:r>
            <w:r w:rsidR="00747E62" w:rsidRPr="00F6210E">
              <w:rPr>
                <w:sz w:val="18"/>
                <w:szCs w:val="18"/>
                <w:lang w:val="sr-Latn-RS"/>
              </w:rPr>
              <w:t xml:space="preserve"> и способности. </w:t>
            </w:r>
            <w:r w:rsidRPr="00F6210E">
              <w:rPr>
                <w:sz w:val="18"/>
                <w:szCs w:val="18"/>
                <w:lang w:val="sr-Cyrl-RS"/>
              </w:rPr>
              <w:t xml:space="preserve">Циљ рада је истицање добробити </w:t>
            </w:r>
            <w:r w:rsidRPr="00F6210E">
              <w:rPr>
                <w:sz w:val="18"/>
                <w:szCs w:val="18"/>
                <w:lang w:val="sr-Latn-RS"/>
              </w:rPr>
              <w:t>конструктивистичког приступа образовању</w:t>
            </w:r>
            <w:r w:rsidRPr="00F6210E">
              <w:rPr>
                <w:sz w:val="18"/>
                <w:szCs w:val="18"/>
                <w:lang w:val="sr-Cyrl-RS"/>
              </w:rPr>
              <w:t>. Истакнута је п</w:t>
            </w:r>
            <w:r w:rsidRPr="00F6210E">
              <w:rPr>
                <w:sz w:val="18"/>
                <w:szCs w:val="18"/>
                <w:lang w:val="sr-Latn-RS"/>
              </w:rPr>
              <w:t>римарн</w:t>
            </w:r>
            <w:r w:rsidRPr="00F6210E">
              <w:rPr>
                <w:sz w:val="18"/>
                <w:szCs w:val="18"/>
                <w:lang w:val="sr-Cyrl-RS"/>
              </w:rPr>
              <w:t>а</w:t>
            </w:r>
            <w:r w:rsidR="00747E62" w:rsidRPr="00F6210E">
              <w:rPr>
                <w:sz w:val="18"/>
                <w:szCs w:val="18"/>
                <w:lang w:val="sr-Latn-RS"/>
              </w:rPr>
              <w:t xml:space="preserve"> </w:t>
            </w:r>
            <w:r w:rsidRPr="00F6210E">
              <w:rPr>
                <w:sz w:val="18"/>
                <w:szCs w:val="18"/>
                <w:lang w:val="sr-Cyrl-RS"/>
              </w:rPr>
              <w:t>одлика</w:t>
            </w:r>
            <w:r w:rsidR="00747E62" w:rsidRPr="00F6210E">
              <w:rPr>
                <w:sz w:val="18"/>
                <w:szCs w:val="18"/>
                <w:lang w:val="sr-Latn-RS"/>
              </w:rPr>
              <w:t xml:space="preserve"> констр</w:t>
            </w:r>
            <w:r w:rsidRPr="00F6210E">
              <w:rPr>
                <w:sz w:val="18"/>
                <w:szCs w:val="18"/>
                <w:lang w:val="sr-Latn-RS"/>
              </w:rPr>
              <w:t>уктивистичког приступа учењу</w:t>
            </w:r>
            <w:r w:rsidRPr="00F6210E">
              <w:rPr>
                <w:sz w:val="18"/>
                <w:szCs w:val="18"/>
                <w:lang w:val="sr-Cyrl-RS"/>
              </w:rPr>
              <w:t xml:space="preserve">, </w:t>
            </w:r>
            <w:r w:rsidR="00747E62" w:rsidRPr="00F6210E">
              <w:rPr>
                <w:sz w:val="18"/>
                <w:szCs w:val="18"/>
                <w:lang w:val="sr-Latn-RS"/>
              </w:rPr>
              <w:t xml:space="preserve">конструкција знања на основу постојећег искуства, што значи да је знање условљено и предодређено индивидуалним способностима, дотадашњим знањем и искуством онога ко учи. </w:t>
            </w:r>
            <w:r w:rsidR="000F42C9" w:rsidRPr="00F6210E">
              <w:rPr>
                <w:sz w:val="18"/>
                <w:szCs w:val="18"/>
                <w:lang w:val="sr-Cyrl-RS"/>
              </w:rPr>
              <w:t>Истакнута је</w:t>
            </w:r>
            <w:r w:rsidRPr="00F6210E">
              <w:rPr>
                <w:sz w:val="18"/>
                <w:szCs w:val="18"/>
                <w:lang w:val="sr-Cyrl-RS"/>
              </w:rPr>
              <w:t xml:space="preserve"> улога н</w:t>
            </w:r>
            <w:r w:rsidR="00747E62" w:rsidRPr="00F6210E">
              <w:rPr>
                <w:sz w:val="18"/>
                <w:szCs w:val="18"/>
                <w:lang w:val="sr-Latn-RS"/>
              </w:rPr>
              <w:t>аставник</w:t>
            </w:r>
            <w:r w:rsidRPr="00F6210E">
              <w:rPr>
                <w:sz w:val="18"/>
                <w:szCs w:val="18"/>
                <w:lang w:val="sr-Cyrl-RS"/>
              </w:rPr>
              <w:t>а који</w:t>
            </w:r>
            <w:r w:rsidR="00747E62" w:rsidRPr="00F6210E">
              <w:rPr>
                <w:sz w:val="18"/>
                <w:szCs w:val="18"/>
                <w:lang w:val="sr-Latn-RS"/>
              </w:rPr>
              <w:t xml:space="preserve"> је усмерен ка ученику, не ка садржају са задатком да ученика активно укључи и ангажује у истраживачким задацима зарад стицања темељног, ефикасног и квалитетног знања.</w:t>
            </w:r>
            <w:r w:rsidR="009168A2" w:rsidRPr="00F6210E">
              <w:rPr>
                <w:sz w:val="18"/>
                <w:szCs w:val="18"/>
                <w:lang w:val="sr-Latn-RS"/>
              </w:rPr>
              <w:t xml:space="preserve"> </w:t>
            </w:r>
            <w:r w:rsidR="000F42C9" w:rsidRPr="00F6210E">
              <w:rPr>
                <w:sz w:val="18"/>
                <w:szCs w:val="18"/>
                <w:lang w:val="sr-Cyrl-RS"/>
              </w:rPr>
              <w:t xml:space="preserve">Закључак истраживања је да </w:t>
            </w:r>
            <w:r w:rsidR="000F42C9" w:rsidRPr="00F6210E">
              <w:rPr>
                <w:sz w:val="18"/>
                <w:szCs w:val="18"/>
                <w:lang w:val="sr-Latn-RS"/>
              </w:rPr>
              <w:t>конструктивизам</w:t>
            </w:r>
            <w:r w:rsidR="000F42C9" w:rsidRPr="00F6210E">
              <w:rPr>
                <w:sz w:val="18"/>
                <w:szCs w:val="18"/>
                <w:lang w:val="sr-Cyrl-RS"/>
              </w:rPr>
              <w:t xml:space="preserve">, како би </w:t>
            </w:r>
            <w:r w:rsidR="00747E62" w:rsidRPr="00F6210E">
              <w:rPr>
                <w:sz w:val="18"/>
                <w:szCs w:val="18"/>
                <w:lang w:val="sr-Latn-RS"/>
              </w:rPr>
              <w:t xml:space="preserve">ефикасно </w:t>
            </w:r>
            <w:r w:rsidR="000F42C9" w:rsidRPr="00F6210E">
              <w:rPr>
                <w:sz w:val="18"/>
                <w:szCs w:val="18"/>
                <w:lang w:val="sr-Cyrl-RS"/>
              </w:rPr>
              <w:t xml:space="preserve">био </w:t>
            </w:r>
            <w:r w:rsidR="000F42C9" w:rsidRPr="00F6210E">
              <w:rPr>
                <w:sz w:val="18"/>
                <w:szCs w:val="18"/>
                <w:lang w:val="sr-Latn-RS"/>
              </w:rPr>
              <w:t>примењ</w:t>
            </w:r>
            <w:r w:rsidR="000F42C9" w:rsidRPr="00F6210E">
              <w:rPr>
                <w:sz w:val="18"/>
                <w:szCs w:val="18"/>
                <w:lang w:val="sr-Cyrl-RS"/>
              </w:rPr>
              <w:t>ен</w:t>
            </w:r>
            <w:r w:rsidR="00747E62" w:rsidRPr="00F6210E">
              <w:rPr>
                <w:sz w:val="18"/>
                <w:szCs w:val="18"/>
                <w:lang w:val="sr-Latn-RS"/>
              </w:rPr>
              <w:t xml:space="preserve"> у образовању</w:t>
            </w:r>
            <w:r w:rsidR="000F42C9" w:rsidRPr="00F6210E">
              <w:rPr>
                <w:sz w:val="18"/>
                <w:szCs w:val="18"/>
                <w:lang w:val="sr-Cyrl-RS"/>
              </w:rPr>
              <w:t>,</w:t>
            </w:r>
            <w:r w:rsidR="00747E62" w:rsidRPr="00F6210E">
              <w:rPr>
                <w:sz w:val="18"/>
                <w:szCs w:val="18"/>
                <w:lang w:val="sr-Latn-RS"/>
              </w:rPr>
              <w:t xml:space="preserve"> мора бити укључен и присутан у образовању и припремању наставника. Конструктивизам захтева ″дубок″ и темељан приступ учењу. </w:t>
            </w:r>
            <w:r w:rsidR="000F42C9" w:rsidRPr="00F6210E">
              <w:rPr>
                <w:sz w:val="18"/>
                <w:szCs w:val="18"/>
                <w:lang w:val="sr-Cyrl-RS"/>
              </w:rPr>
              <w:t>Препорука је да т</w:t>
            </w:r>
            <w:r w:rsidR="00747E62" w:rsidRPr="00F6210E">
              <w:rPr>
                <w:sz w:val="18"/>
                <w:szCs w:val="18"/>
                <w:lang w:val="sr-Latn-RS"/>
              </w:rPr>
              <w:t xml:space="preserve">радиционална настава, која је често на мети критика, </w:t>
            </w:r>
            <w:r w:rsidR="008B2D82" w:rsidRPr="00F6210E">
              <w:rPr>
                <w:sz w:val="18"/>
                <w:szCs w:val="18"/>
                <w:lang w:val="sr-Cyrl-RS"/>
              </w:rPr>
              <w:t xml:space="preserve">нужно </w:t>
            </w:r>
            <w:r w:rsidR="00747E62" w:rsidRPr="00F6210E">
              <w:rPr>
                <w:sz w:val="18"/>
                <w:szCs w:val="18"/>
                <w:lang w:val="sr-Latn-RS"/>
              </w:rPr>
              <w:t>у по</w:t>
            </w:r>
            <w:r w:rsidR="008B2D82" w:rsidRPr="00F6210E">
              <w:rPr>
                <w:sz w:val="18"/>
                <w:szCs w:val="18"/>
                <w:lang w:val="sr-Cyrl-RS"/>
              </w:rPr>
              <w:t>јединим</w:t>
            </w:r>
            <w:r w:rsidR="00747E62" w:rsidRPr="00F6210E">
              <w:rPr>
                <w:sz w:val="18"/>
                <w:szCs w:val="18"/>
                <w:lang w:val="sr-Latn-RS"/>
              </w:rPr>
              <w:t xml:space="preserve"> сегментима рада и учења, </w:t>
            </w:r>
            <w:r w:rsidR="008B2D82" w:rsidRPr="00F6210E">
              <w:rPr>
                <w:sz w:val="18"/>
                <w:szCs w:val="18"/>
                <w:lang w:val="sr-Cyrl-RS"/>
              </w:rPr>
              <w:t xml:space="preserve">мора </w:t>
            </w:r>
            <w:r w:rsidR="00747E62" w:rsidRPr="00F6210E">
              <w:rPr>
                <w:sz w:val="18"/>
                <w:szCs w:val="18"/>
                <w:lang w:val="sr-Latn-RS"/>
              </w:rPr>
              <w:t xml:space="preserve">уступити место конструктивистичком учењу како би </w:t>
            </w:r>
            <w:r w:rsidR="008B2D82" w:rsidRPr="00F6210E">
              <w:rPr>
                <w:sz w:val="18"/>
                <w:szCs w:val="18"/>
                <w:lang w:val="sr-Cyrl-RS"/>
              </w:rPr>
              <w:t>то допринело иновативности</w:t>
            </w:r>
            <w:r w:rsidR="00747E62" w:rsidRPr="00F6210E">
              <w:rPr>
                <w:sz w:val="18"/>
                <w:szCs w:val="18"/>
                <w:lang w:val="sr-Latn-RS"/>
              </w:rPr>
              <w:t xml:space="preserve"> наставн</w:t>
            </w:r>
            <w:r w:rsidR="008B2D82" w:rsidRPr="00F6210E">
              <w:rPr>
                <w:sz w:val="18"/>
                <w:szCs w:val="18"/>
                <w:lang w:val="sr-Cyrl-RS"/>
              </w:rPr>
              <w:t>ог</w:t>
            </w:r>
            <w:r w:rsidR="00747E62" w:rsidRPr="00F6210E">
              <w:rPr>
                <w:sz w:val="18"/>
                <w:szCs w:val="18"/>
                <w:lang w:val="sr-Latn-RS"/>
              </w:rPr>
              <w:t xml:space="preserve"> процес</w:t>
            </w:r>
            <w:r w:rsidR="008B2D82" w:rsidRPr="00F6210E">
              <w:rPr>
                <w:sz w:val="18"/>
                <w:szCs w:val="18"/>
                <w:lang w:val="sr-Cyrl-RS"/>
              </w:rPr>
              <w:t>а</w:t>
            </w:r>
            <w:r w:rsidR="00747E62" w:rsidRPr="00F6210E">
              <w:rPr>
                <w:sz w:val="18"/>
                <w:szCs w:val="18"/>
                <w:lang w:val="sr-Latn-RS"/>
              </w:rPr>
              <w:t xml:space="preserve">. 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75503187" w14:textId="77777777" w:rsidR="00EA0590" w:rsidRPr="0082465B" w:rsidRDefault="00EA0590" w:rsidP="008E1439">
            <w:pPr>
              <w:rPr>
                <w:lang w:val="ru-RU"/>
              </w:rPr>
            </w:pPr>
          </w:p>
        </w:tc>
      </w:tr>
      <w:tr w:rsidR="00EA0590" w:rsidRPr="0082465B" w14:paraId="10241CF6" w14:textId="77777777" w:rsidTr="008E1439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434AB36E" w14:textId="77777777" w:rsidR="00EA0590" w:rsidRPr="00F6210E" w:rsidRDefault="00EA0590" w:rsidP="008E1439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23D248A5" w14:textId="77777777" w:rsidR="00EA0590" w:rsidRPr="00F6210E" w:rsidRDefault="000237B0" w:rsidP="009168A2">
            <w:pPr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5539B8EF" w14:textId="77777777" w:rsidR="00EA0590" w:rsidRPr="00F6210E" w:rsidRDefault="00EA0590" w:rsidP="009168A2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F6210E">
              <w:rPr>
                <w:b/>
                <w:bCs/>
                <w:sz w:val="18"/>
                <w:szCs w:val="18"/>
                <w:highlight w:val="yellow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22787E3F" w14:textId="77777777" w:rsidR="00EA0590" w:rsidRPr="00F6210E" w:rsidRDefault="00EA0590" w:rsidP="009168A2">
            <w:pPr>
              <w:jc w:val="center"/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gridSpan w:val="2"/>
            <w:vAlign w:val="center"/>
          </w:tcPr>
          <w:p w14:paraId="038FED10" w14:textId="77777777" w:rsidR="00EA0590" w:rsidRPr="00F6210E" w:rsidRDefault="00EA0590" w:rsidP="009168A2">
            <w:pPr>
              <w:jc w:val="center"/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43863ECD" w14:textId="77777777" w:rsidR="00EA0590" w:rsidRPr="0082465B" w:rsidRDefault="00EA0590" w:rsidP="008E1439">
            <w:pPr>
              <w:rPr>
                <w:lang w:val="ru-RU"/>
              </w:rPr>
            </w:pPr>
          </w:p>
        </w:tc>
      </w:tr>
      <w:tr w:rsidR="000237B0" w:rsidRPr="0082465B" w14:paraId="2FC56B58" w14:textId="77777777" w:rsidTr="0087531D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5477BEB7" w14:textId="77777777" w:rsidR="000237B0" w:rsidRPr="00F6210E" w:rsidRDefault="000237B0" w:rsidP="008E1439">
            <w:pPr>
              <w:jc w:val="center"/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9178" w:type="dxa"/>
            <w:gridSpan w:val="7"/>
            <w:vAlign w:val="center"/>
          </w:tcPr>
          <w:p w14:paraId="10DC58E9" w14:textId="77777777" w:rsidR="000237B0" w:rsidRPr="00F6210E" w:rsidRDefault="000237B0" w:rsidP="009168A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6210E">
              <w:rPr>
                <w:rFonts w:ascii="Times New Roman" w:hAnsi="Times New Roman"/>
                <w:sz w:val="18"/>
                <w:szCs w:val="18"/>
              </w:rPr>
              <w:t xml:space="preserve">Максимовић, Ј., Османовић, Ј. и </w:t>
            </w:r>
            <w:r w:rsidRPr="00F6210E">
              <w:rPr>
                <w:rFonts w:ascii="Times New Roman" w:hAnsi="Times New Roman"/>
                <w:b/>
                <w:sz w:val="18"/>
                <w:szCs w:val="18"/>
              </w:rPr>
              <w:t>Милановић, А.</w:t>
            </w:r>
            <w:r w:rsidRPr="00F6210E">
              <w:rPr>
                <w:rFonts w:ascii="Times New Roman" w:hAnsi="Times New Roman"/>
                <w:sz w:val="18"/>
                <w:szCs w:val="18"/>
              </w:rPr>
              <w:t xml:space="preserve"> (2019). Теоријски приступ холистичкој образовној парадигми, </w:t>
            </w:r>
            <w:r w:rsidRPr="00F6210E">
              <w:rPr>
                <w:rFonts w:ascii="Times New Roman" w:hAnsi="Times New Roman"/>
                <w:i/>
                <w:sz w:val="18"/>
                <w:szCs w:val="18"/>
              </w:rPr>
              <w:t>Годишњак Педагошког факултета у Врању</w:t>
            </w:r>
            <w:r w:rsidRPr="00F6210E">
              <w:rPr>
                <w:rFonts w:ascii="Times New Roman" w:hAnsi="Times New Roman"/>
                <w:sz w:val="18"/>
                <w:szCs w:val="18"/>
              </w:rPr>
              <w:t>, 10(1), Врање, 43–54.</w:t>
            </w:r>
          </w:p>
          <w:p w14:paraId="704BA1BB" w14:textId="77777777" w:rsidR="000237B0" w:rsidRPr="00F6210E" w:rsidRDefault="000237B0" w:rsidP="009168A2">
            <w:pPr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</w:rPr>
              <w:t>UDK 37.012:303.022/.023, ISSN 2466-3905, COBISS.SR-ID 221686284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208880E4" w14:textId="77777777" w:rsidR="000237B0" w:rsidRPr="0082465B" w:rsidRDefault="000237B0" w:rsidP="0087531D">
            <w:pPr>
              <w:jc w:val="center"/>
              <w:rPr>
                <w:lang w:val="ru-RU"/>
              </w:rPr>
            </w:pPr>
            <w:r w:rsidRPr="004D754D">
              <w:t>M52</w:t>
            </w:r>
          </w:p>
        </w:tc>
      </w:tr>
      <w:tr w:rsidR="000237B0" w:rsidRPr="0082465B" w14:paraId="4B7A1095" w14:textId="77777777" w:rsidTr="008E1439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43B3D181" w14:textId="77777777" w:rsidR="000237B0" w:rsidRPr="00F6210E" w:rsidRDefault="000237B0" w:rsidP="008E1439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7"/>
            <w:vAlign w:val="center"/>
          </w:tcPr>
          <w:p w14:paraId="64792717" w14:textId="77777777" w:rsidR="000237B0" w:rsidRPr="00F6210E" w:rsidRDefault="00754719" w:rsidP="009168A2">
            <w:pPr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  <w:lang w:val="ru-RU"/>
              </w:rPr>
              <w:t xml:space="preserve">У раду је актуелизован значај холистичког приступа у образовању. Сегменти којима се продубљује смисао и значај  холистичког приступа јесу холистичка парадигма, холистичко образовање и учење.  Истраживањем се одговара на три истраживачка задатка: указивање на спону између херменаутике, холизма и холистичке педагогије; дефинисање холистичке парадигме уз дефинисање традиционалних педагошких парадигми; издвајање одлика и значаја холистичког образовања и указивање на повезаност холистичког и проблемског учења. Коришћена је метода теоријске анализе са техником анализе садржаја зарад успешнијег приближавања проблематике примене холистичке парадигме у педагогији коришћењем релевантне литературе. На основу општег значаја холистичког приступа аутори имплицирају да </w:t>
            </w:r>
            <w:r w:rsidR="0058617B" w:rsidRPr="00F6210E">
              <w:rPr>
                <w:sz w:val="18"/>
                <w:szCs w:val="18"/>
                <w:lang w:val="ru-RU"/>
              </w:rPr>
              <w:t xml:space="preserve">његова </w:t>
            </w:r>
            <w:r w:rsidRPr="00F6210E">
              <w:rPr>
                <w:sz w:val="18"/>
                <w:szCs w:val="18"/>
                <w:lang w:val="ru-RU"/>
              </w:rPr>
              <w:t>употреба у оријентацији истраживања проблема у педагогији доводи до ефикасни</w:t>
            </w:r>
            <w:r w:rsidR="000F42C9" w:rsidRPr="00F6210E">
              <w:rPr>
                <w:sz w:val="18"/>
                <w:szCs w:val="18"/>
                <w:lang w:val="ru-RU"/>
              </w:rPr>
              <w:t>ји</w:t>
            </w:r>
            <w:r w:rsidRPr="00F6210E">
              <w:rPr>
                <w:sz w:val="18"/>
                <w:szCs w:val="18"/>
                <w:lang w:val="ru-RU"/>
              </w:rPr>
              <w:t>х решења.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16DD8668" w14:textId="77777777" w:rsidR="000237B0" w:rsidRPr="0082465B" w:rsidRDefault="000237B0" w:rsidP="008E1439">
            <w:pPr>
              <w:rPr>
                <w:lang w:val="ru-RU"/>
              </w:rPr>
            </w:pPr>
          </w:p>
        </w:tc>
      </w:tr>
      <w:tr w:rsidR="000237B0" w:rsidRPr="0082465B" w14:paraId="0525F00D" w14:textId="77777777" w:rsidTr="008E1439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24DB04F0" w14:textId="77777777" w:rsidR="000237B0" w:rsidRPr="00F6210E" w:rsidRDefault="000237B0" w:rsidP="008E1439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7"/>
            <w:vAlign w:val="center"/>
          </w:tcPr>
          <w:tbl>
            <w:tblPr>
              <w:tblW w:w="9116" w:type="dxa"/>
              <w:jc w:val="center"/>
              <w:tblBorders>
                <w:top w:val="single" w:sz="4" w:space="0" w:color="C0C0C0"/>
                <w:left w:val="single" w:sz="4" w:space="0" w:color="C0C0C0"/>
                <w:bottom w:val="single" w:sz="4" w:space="0" w:color="C0C0C0"/>
                <w:right w:val="single" w:sz="4" w:space="0" w:color="C0C0C0"/>
                <w:insideH w:val="single" w:sz="4" w:space="0" w:color="C0C0C0"/>
                <w:insideV w:val="single" w:sz="4" w:space="0" w:color="C0C0C0"/>
              </w:tblBorders>
              <w:tblLayout w:type="fixed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5065"/>
              <w:gridCol w:w="709"/>
              <w:gridCol w:w="851"/>
              <w:gridCol w:w="2491"/>
            </w:tblGrid>
            <w:tr w:rsidR="00882294" w:rsidRPr="00F6210E" w14:paraId="34094E1D" w14:textId="198A946B" w:rsidTr="00882294">
              <w:trPr>
                <w:trHeight w:val="340"/>
                <w:jc w:val="center"/>
              </w:trPr>
              <w:tc>
                <w:tcPr>
                  <w:tcW w:w="5065" w:type="dxa"/>
                  <w:vAlign w:val="center"/>
                </w:tcPr>
                <w:p w14:paraId="015938BE" w14:textId="77777777" w:rsidR="00882294" w:rsidRPr="00F6210E" w:rsidRDefault="00882294" w:rsidP="009168A2">
                  <w:pPr>
                    <w:ind w:left="849"/>
                    <w:rPr>
                      <w:sz w:val="18"/>
                      <w:szCs w:val="18"/>
                      <w:lang w:val="ru-RU"/>
                    </w:rPr>
                  </w:pPr>
                  <w:r w:rsidRPr="00F6210E">
                    <w:rPr>
                      <w:sz w:val="18"/>
                      <w:szCs w:val="18"/>
                      <w:lang w:val="ru-RU"/>
                    </w:rPr>
                    <w:t>Рад припада научној области докторске дисертације</w:t>
                  </w:r>
                </w:p>
              </w:tc>
              <w:tc>
                <w:tcPr>
                  <w:tcW w:w="709" w:type="dxa"/>
                  <w:vAlign w:val="center"/>
                </w:tcPr>
                <w:p w14:paraId="56E2846C" w14:textId="77777777" w:rsidR="00882294" w:rsidRPr="00F6210E" w:rsidRDefault="00882294" w:rsidP="009168A2">
                  <w:pPr>
                    <w:jc w:val="center"/>
                    <w:rPr>
                      <w:b/>
                      <w:bCs/>
                      <w:sz w:val="18"/>
                      <w:szCs w:val="18"/>
                      <w:lang w:val="ru-RU"/>
                    </w:rPr>
                  </w:pPr>
                  <w:r w:rsidRPr="00F6210E">
                    <w:rPr>
                      <w:b/>
                      <w:bCs/>
                      <w:sz w:val="18"/>
                      <w:szCs w:val="18"/>
                      <w:highlight w:val="yellow"/>
                      <w:lang w:val="ru-RU"/>
                    </w:rPr>
                    <w:t>ДА</w:t>
                  </w:r>
                </w:p>
              </w:tc>
              <w:tc>
                <w:tcPr>
                  <w:tcW w:w="851" w:type="dxa"/>
                  <w:vAlign w:val="center"/>
                </w:tcPr>
                <w:p w14:paraId="4AFF144D" w14:textId="77777777" w:rsidR="00882294" w:rsidRPr="00F6210E" w:rsidRDefault="00882294" w:rsidP="009168A2">
                  <w:pPr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 w:rsidRPr="00F6210E">
                    <w:rPr>
                      <w:sz w:val="18"/>
                      <w:szCs w:val="18"/>
                      <w:lang w:val="ru-RU"/>
                    </w:rPr>
                    <w:t>НЕ</w:t>
                  </w:r>
                </w:p>
              </w:tc>
              <w:tc>
                <w:tcPr>
                  <w:tcW w:w="2491" w:type="dxa"/>
                  <w:vAlign w:val="center"/>
                </w:tcPr>
                <w:p w14:paraId="36BAB6F3" w14:textId="77777777" w:rsidR="00882294" w:rsidRPr="00F6210E" w:rsidRDefault="00882294" w:rsidP="00882294">
                  <w:pPr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 w:rsidRPr="00F6210E">
                    <w:rPr>
                      <w:sz w:val="18"/>
                      <w:szCs w:val="18"/>
                      <w:lang w:val="ru-RU"/>
                    </w:rPr>
                    <w:t>ДЕЛИМИЧНО</w:t>
                  </w:r>
                </w:p>
              </w:tc>
            </w:tr>
          </w:tbl>
          <w:p w14:paraId="64066D19" w14:textId="77777777" w:rsidR="000237B0" w:rsidRPr="00F6210E" w:rsidRDefault="000237B0" w:rsidP="009168A2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061" w:type="dxa"/>
            <w:gridSpan w:val="2"/>
            <w:vMerge/>
            <w:vAlign w:val="center"/>
          </w:tcPr>
          <w:p w14:paraId="65944B9F" w14:textId="77777777" w:rsidR="000237B0" w:rsidRPr="0082465B" w:rsidRDefault="000237B0" w:rsidP="008E1439">
            <w:pPr>
              <w:rPr>
                <w:lang w:val="ru-RU"/>
              </w:rPr>
            </w:pPr>
          </w:p>
        </w:tc>
      </w:tr>
      <w:tr w:rsidR="00EA0590" w:rsidRPr="0082465B" w14:paraId="17A32167" w14:textId="77777777" w:rsidTr="0087531D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1B76DBAC" w14:textId="77777777" w:rsidR="00EA0590" w:rsidRPr="00F6210E" w:rsidRDefault="000237B0" w:rsidP="008E1439">
            <w:pPr>
              <w:jc w:val="center"/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  <w:lang w:val="ru-RU"/>
              </w:rPr>
              <w:t>6</w:t>
            </w:r>
          </w:p>
        </w:tc>
        <w:tc>
          <w:tcPr>
            <w:tcW w:w="9178" w:type="dxa"/>
            <w:gridSpan w:val="7"/>
            <w:vAlign w:val="center"/>
          </w:tcPr>
          <w:p w14:paraId="39D60AC2" w14:textId="77777777" w:rsidR="00EA0590" w:rsidRPr="00F6210E" w:rsidRDefault="000237B0" w:rsidP="009168A2">
            <w:pPr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</w:rPr>
              <w:t xml:space="preserve">Ценић, Д. и </w:t>
            </w:r>
            <w:r w:rsidRPr="00F6210E">
              <w:rPr>
                <w:b/>
                <w:sz w:val="18"/>
                <w:szCs w:val="18"/>
              </w:rPr>
              <w:t xml:space="preserve">Крстић, А. </w:t>
            </w:r>
            <w:r w:rsidRPr="00F6210E">
              <w:rPr>
                <w:sz w:val="18"/>
                <w:szCs w:val="18"/>
              </w:rPr>
              <w:t xml:space="preserve">(2014): Примена иновативних наставних метода за повећање постигнућа студената путем акционог истраживања, Међународна конференција ЕDUvision 2014: </w:t>
            </w:r>
            <w:r w:rsidRPr="00F6210E">
              <w:rPr>
                <w:i/>
                <w:sz w:val="18"/>
                <w:szCs w:val="18"/>
              </w:rPr>
              <w:t>Содобни пристопи поучевања прихајајочих генерациј</w:t>
            </w:r>
            <w:r w:rsidRPr="00F6210E">
              <w:rPr>
                <w:sz w:val="18"/>
                <w:szCs w:val="18"/>
              </w:rPr>
              <w:t>, Љубљана: Народна универзитетна књижица, 418–427.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636793EF" w14:textId="77777777" w:rsidR="00EA0590" w:rsidRPr="0082465B" w:rsidRDefault="000237B0" w:rsidP="0087531D">
            <w:pPr>
              <w:jc w:val="center"/>
              <w:rPr>
                <w:lang w:val="ru-RU"/>
              </w:rPr>
            </w:pPr>
            <w:r w:rsidRPr="004D754D">
              <w:t>M63</w:t>
            </w:r>
          </w:p>
        </w:tc>
      </w:tr>
      <w:tr w:rsidR="00EA0590" w:rsidRPr="0082465B" w14:paraId="72C1CBF9" w14:textId="77777777" w:rsidTr="008E1439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68451D45" w14:textId="77777777" w:rsidR="00EA0590" w:rsidRPr="00F6210E" w:rsidRDefault="00EA0590" w:rsidP="008E1439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7"/>
          </w:tcPr>
          <w:p w14:paraId="3E80CA64" w14:textId="77777777" w:rsidR="00EA0590" w:rsidRPr="00F6210E" w:rsidRDefault="000F42C9" w:rsidP="009168A2">
            <w:pPr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  <w:lang w:val="ru-RU"/>
              </w:rPr>
              <w:t>Овим</w:t>
            </w:r>
            <w:r w:rsidR="00BC4B65" w:rsidRPr="00F6210E">
              <w:rPr>
                <w:sz w:val="18"/>
                <w:szCs w:val="18"/>
                <w:lang w:val="ru-RU"/>
              </w:rPr>
              <w:t xml:space="preserve"> истраживањем аутори</w:t>
            </w:r>
            <w:r w:rsidRPr="00F6210E">
              <w:rPr>
                <w:sz w:val="18"/>
                <w:szCs w:val="18"/>
                <w:lang w:val="ru-RU"/>
              </w:rPr>
              <w:t xml:space="preserve"> указују на могућност</w:t>
            </w:r>
            <w:r w:rsidR="00BC4B65" w:rsidRPr="00F6210E">
              <w:rPr>
                <w:sz w:val="18"/>
                <w:szCs w:val="18"/>
                <w:lang w:val="ru-RU"/>
              </w:rPr>
              <w:t xml:space="preserve"> </w:t>
            </w:r>
            <w:r w:rsidR="006C5C1C" w:rsidRPr="00F6210E">
              <w:rPr>
                <w:sz w:val="18"/>
                <w:szCs w:val="18"/>
                <w:lang w:val="ru-RU"/>
              </w:rPr>
              <w:t>промене устаљ</w:t>
            </w:r>
            <w:r w:rsidRPr="00F6210E">
              <w:rPr>
                <w:sz w:val="18"/>
                <w:szCs w:val="18"/>
                <w:lang w:val="ru-RU"/>
              </w:rPr>
              <w:t>ене наставне праксе за веома кратко време.</w:t>
            </w:r>
            <w:r w:rsidR="00BC4B65" w:rsidRPr="00F6210E">
              <w:rPr>
                <w:sz w:val="18"/>
                <w:szCs w:val="18"/>
                <w:lang w:val="ru-RU"/>
              </w:rPr>
              <w:t xml:space="preserve"> Циљ истраживања је показати и уверити студенте да се активним радом и сарадњом може постићи и научити много више него када су пасивни примаоци информација. Спровођењ</w:t>
            </w:r>
            <w:r w:rsidRPr="00F6210E">
              <w:rPr>
                <w:sz w:val="18"/>
                <w:szCs w:val="18"/>
                <w:lang w:val="ru-RU"/>
              </w:rPr>
              <w:t>е</w:t>
            </w:r>
            <w:r w:rsidR="00BC4B65" w:rsidRPr="00F6210E">
              <w:rPr>
                <w:sz w:val="18"/>
                <w:szCs w:val="18"/>
                <w:lang w:val="ru-RU"/>
              </w:rPr>
              <w:t xml:space="preserve">м акционог истраживања задовољене су очекиване потребе које су предвиђене као пожељне, успешно је остварен план акције, те је проблем пасивности студената ефикасно уклоњен и минимализован уз успешно реаговање и одговарање на неочекиване и непредвиђене ситуације и препреке. Добијени резултати потврђују да се спровођењем акционих истраживања у кратком временском интервалу можемо изборити са конкретним проблемима у </w:t>
            </w:r>
            <w:r w:rsidRPr="00F6210E">
              <w:rPr>
                <w:sz w:val="18"/>
                <w:szCs w:val="18"/>
                <w:lang w:val="ru-RU"/>
              </w:rPr>
              <w:t xml:space="preserve">наставној </w:t>
            </w:r>
            <w:r w:rsidR="00BC4B65" w:rsidRPr="00F6210E">
              <w:rPr>
                <w:sz w:val="18"/>
                <w:szCs w:val="18"/>
                <w:lang w:val="ru-RU"/>
              </w:rPr>
              <w:t>пракси.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6DE12E80" w14:textId="77777777" w:rsidR="00EA0590" w:rsidRPr="0082465B" w:rsidRDefault="00EA0590" w:rsidP="008E1439">
            <w:pPr>
              <w:rPr>
                <w:lang w:val="ru-RU"/>
              </w:rPr>
            </w:pPr>
          </w:p>
        </w:tc>
      </w:tr>
      <w:tr w:rsidR="00EA0590" w:rsidRPr="0082465B" w14:paraId="48B1969C" w14:textId="77777777" w:rsidTr="008E1439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0FBB09D1" w14:textId="77777777" w:rsidR="00EA0590" w:rsidRPr="00F6210E" w:rsidRDefault="00EA0590" w:rsidP="008E1439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1574623B" w14:textId="77777777" w:rsidR="00EA0590" w:rsidRPr="00F6210E" w:rsidRDefault="000237B0" w:rsidP="009168A2">
            <w:pPr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2CE939F7" w14:textId="77777777" w:rsidR="00EA0590" w:rsidRPr="00F6210E" w:rsidRDefault="00EA0590" w:rsidP="009168A2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F6210E">
              <w:rPr>
                <w:b/>
                <w:bCs/>
                <w:sz w:val="18"/>
                <w:szCs w:val="18"/>
                <w:highlight w:val="yellow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0A618BFB" w14:textId="77777777" w:rsidR="00EA0590" w:rsidRPr="00F6210E" w:rsidRDefault="00EA0590" w:rsidP="009168A2">
            <w:pPr>
              <w:jc w:val="center"/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gridSpan w:val="2"/>
            <w:vAlign w:val="center"/>
          </w:tcPr>
          <w:p w14:paraId="5B43C817" w14:textId="77777777" w:rsidR="00EA0590" w:rsidRPr="00F6210E" w:rsidRDefault="00EA0590" w:rsidP="009168A2">
            <w:pPr>
              <w:jc w:val="center"/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52600521" w14:textId="77777777" w:rsidR="00EA0590" w:rsidRPr="0082465B" w:rsidRDefault="00EA0590" w:rsidP="008E1439">
            <w:pPr>
              <w:rPr>
                <w:lang w:val="ru-RU"/>
              </w:rPr>
            </w:pPr>
          </w:p>
        </w:tc>
      </w:tr>
      <w:tr w:rsidR="00830DB7" w:rsidRPr="0082465B" w14:paraId="0BE903E9" w14:textId="77777777" w:rsidTr="0087531D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5FEBAD6B" w14:textId="77777777" w:rsidR="00830DB7" w:rsidRPr="00F6210E" w:rsidRDefault="00830DB7" w:rsidP="000237B0">
            <w:pPr>
              <w:jc w:val="center"/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  <w:lang w:val="ru-RU"/>
              </w:rPr>
              <w:t>7</w:t>
            </w:r>
          </w:p>
        </w:tc>
        <w:tc>
          <w:tcPr>
            <w:tcW w:w="9178" w:type="dxa"/>
            <w:gridSpan w:val="7"/>
            <w:vAlign w:val="center"/>
          </w:tcPr>
          <w:p w14:paraId="6F68DE66" w14:textId="77777777" w:rsidR="009168A2" w:rsidRPr="00F6210E" w:rsidRDefault="00830DB7" w:rsidP="009168A2">
            <w:pPr>
              <w:rPr>
                <w:sz w:val="18"/>
                <w:szCs w:val="18"/>
              </w:rPr>
            </w:pPr>
            <w:r w:rsidRPr="00F6210E">
              <w:rPr>
                <w:b/>
                <w:sz w:val="18"/>
                <w:szCs w:val="18"/>
              </w:rPr>
              <w:t>Крстић, А</w:t>
            </w:r>
            <w:r w:rsidRPr="00F6210E">
              <w:rPr>
                <w:sz w:val="18"/>
                <w:szCs w:val="18"/>
              </w:rPr>
              <w:t xml:space="preserve">. (2014): Улога наставника у педагошко саветодавном раду, Тематски зборник </w:t>
            </w:r>
            <w:r w:rsidRPr="00F6210E">
              <w:rPr>
                <w:i/>
                <w:sz w:val="18"/>
                <w:szCs w:val="18"/>
              </w:rPr>
              <w:t>Могућности модификовања васпитно-образовног рада и методике разредне наставе</w:t>
            </w:r>
            <w:r w:rsidRPr="00F6210E">
              <w:rPr>
                <w:sz w:val="18"/>
                <w:szCs w:val="18"/>
              </w:rPr>
              <w:t xml:space="preserve">, Врање: Учитељски факултет, 221-233. </w:t>
            </w:r>
          </w:p>
          <w:p w14:paraId="2528EAEA" w14:textId="77777777" w:rsidR="00830DB7" w:rsidRPr="00F6210E" w:rsidRDefault="00830DB7" w:rsidP="009168A2">
            <w:pPr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</w:rPr>
              <w:t>ISBN 978-86-6301-018-5, COBISS.SR-ID 212581132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2DC8D03A" w14:textId="77777777" w:rsidR="00830DB7" w:rsidRPr="0082465B" w:rsidRDefault="00830DB7" w:rsidP="0087531D">
            <w:pPr>
              <w:jc w:val="center"/>
              <w:rPr>
                <w:lang w:val="ru-RU"/>
              </w:rPr>
            </w:pPr>
            <w:r w:rsidRPr="004D754D">
              <w:t>M54</w:t>
            </w:r>
          </w:p>
        </w:tc>
      </w:tr>
      <w:tr w:rsidR="00830DB7" w:rsidRPr="0082465B" w14:paraId="5A34BFA3" w14:textId="77777777" w:rsidTr="00716326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0547B606" w14:textId="77777777" w:rsidR="00830DB7" w:rsidRPr="00F6210E" w:rsidRDefault="00830DB7" w:rsidP="008E1439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7"/>
            <w:vAlign w:val="center"/>
          </w:tcPr>
          <w:p w14:paraId="2B1EB662" w14:textId="77777777" w:rsidR="00830DB7" w:rsidRPr="00F6210E" w:rsidRDefault="00D454B6" w:rsidP="009168A2">
            <w:pPr>
              <w:rPr>
                <w:sz w:val="18"/>
                <w:szCs w:val="18"/>
                <w:lang w:val="sr-Cyrl-RS"/>
              </w:rPr>
            </w:pPr>
            <w:r w:rsidRPr="00F6210E">
              <w:rPr>
                <w:sz w:val="18"/>
                <w:szCs w:val="18"/>
                <w:lang w:val="sr-Cyrl-RS"/>
              </w:rPr>
              <w:t>У раду је указано на п</w:t>
            </w:r>
            <w:r w:rsidR="005D306F" w:rsidRPr="00F6210E">
              <w:rPr>
                <w:sz w:val="18"/>
                <w:szCs w:val="18"/>
                <w:lang w:val="sr-Cyrl-RS"/>
              </w:rPr>
              <w:t xml:space="preserve">едагошко саветодавни рад </w:t>
            </w:r>
            <w:r w:rsidRPr="00F6210E">
              <w:rPr>
                <w:sz w:val="18"/>
                <w:szCs w:val="18"/>
                <w:lang w:val="sr-Cyrl-RS"/>
              </w:rPr>
              <w:t xml:space="preserve">као </w:t>
            </w:r>
            <w:r w:rsidR="005D306F" w:rsidRPr="00F6210E">
              <w:rPr>
                <w:sz w:val="18"/>
                <w:szCs w:val="18"/>
                <w:lang w:val="sr-Cyrl-RS"/>
              </w:rPr>
              <w:t>један је од задатака свих запослених који учествују у васпитно-образовном процесу. Акценат у овом истраживању стављен је на улогу наставника у педагошко саветодавном раду, њене домете, функције и ограничења. Истраживање је реализован</w:t>
            </w:r>
            <w:r w:rsidR="00BD3020" w:rsidRPr="00F6210E">
              <w:rPr>
                <w:sz w:val="18"/>
                <w:szCs w:val="18"/>
                <w:lang w:val="sr-Cyrl-RS"/>
              </w:rPr>
              <w:t>о</w:t>
            </w:r>
            <w:r w:rsidR="005D306F" w:rsidRPr="00F6210E">
              <w:rPr>
                <w:sz w:val="18"/>
                <w:szCs w:val="18"/>
                <w:lang w:val="sr-Cyrl-RS"/>
              </w:rPr>
              <w:t xml:space="preserve"> на територији града Врања, реч је о намерном узорку. Метода је </w:t>
            </w:r>
            <w:r w:rsidRPr="00F6210E">
              <w:rPr>
                <w:sz w:val="18"/>
                <w:szCs w:val="18"/>
                <w:lang w:val="sr-Cyrl-RS"/>
              </w:rPr>
              <w:t>о</w:t>
            </w:r>
            <w:r w:rsidR="005D306F" w:rsidRPr="00F6210E">
              <w:rPr>
                <w:sz w:val="18"/>
                <w:szCs w:val="18"/>
                <w:lang w:val="sr-Cyrl-RS"/>
              </w:rPr>
              <w:t xml:space="preserve">дабрана у складу са циљем, задацима истраживања, природом проблема и постављеним хипотезама, метода теоријске анализе за анализу постојећих теоријских полазишта и дескриптивна научноистраживачка метода у складу са истраживачким проблемом. Истраживачки поступак коришћен у раду је скалирање, од техника је коришћена скала процене. </w:t>
            </w:r>
            <w:r w:rsidR="00347CBA" w:rsidRPr="00F6210E">
              <w:rPr>
                <w:sz w:val="18"/>
                <w:szCs w:val="18"/>
                <w:lang w:val="sr-Cyrl-RS"/>
              </w:rPr>
              <w:t xml:space="preserve">Од статистичких поступака рађена је квантитативна обрада података, затим квалитативна анализа и утврђивање добијених података. Добијени </w:t>
            </w:r>
            <w:r w:rsidR="00747E62" w:rsidRPr="00F6210E">
              <w:rPr>
                <w:sz w:val="18"/>
                <w:szCs w:val="18"/>
                <w:lang w:val="sr-Cyrl-RS"/>
              </w:rPr>
              <w:t>резултати воде</w:t>
            </w:r>
            <w:r w:rsidR="00347CBA" w:rsidRPr="00F6210E">
              <w:rPr>
                <w:sz w:val="18"/>
                <w:szCs w:val="18"/>
                <w:lang w:val="sr-Cyrl-RS"/>
              </w:rPr>
              <w:t xml:space="preserve"> до закључка да су наставници укључени у саветодавни рад као један од домена васпитно-образовног рада.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54479BE7" w14:textId="77777777" w:rsidR="00830DB7" w:rsidRPr="0082465B" w:rsidRDefault="00830DB7" w:rsidP="008E1439">
            <w:pPr>
              <w:rPr>
                <w:lang w:val="ru-RU"/>
              </w:rPr>
            </w:pPr>
          </w:p>
        </w:tc>
      </w:tr>
      <w:tr w:rsidR="00830DB7" w:rsidRPr="0082465B" w14:paraId="21CC0D7F" w14:textId="77777777" w:rsidTr="008E1439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34A8BE6F" w14:textId="77777777" w:rsidR="00830DB7" w:rsidRPr="00F6210E" w:rsidRDefault="00830DB7" w:rsidP="008E1439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489E8995" w14:textId="77777777" w:rsidR="00830DB7" w:rsidRPr="00F6210E" w:rsidRDefault="00830DB7" w:rsidP="009168A2">
            <w:pPr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0510EA21" w14:textId="77777777" w:rsidR="00830DB7" w:rsidRPr="00F6210E" w:rsidRDefault="00830DB7" w:rsidP="009168A2">
            <w:pPr>
              <w:rPr>
                <w:b/>
                <w:bCs/>
                <w:sz w:val="18"/>
                <w:szCs w:val="18"/>
                <w:highlight w:val="yellow"/>
                <w:lang w:val="ru-RU"/>
              </w:rPr>
            </w:pPr>
            <w:r w:rsidRPr="00F6210E">
              <w:rPr>
                <w:b/>
                <w:bCs/>
                <w:sz w:val="18"/>
                <w:szCs w:val="18"/>
                <w:highlight w:val="yellow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74F2B506" w14:textId="77777777" w:rsidR="00830DB7" w:rsidRPr="00F6210E" w:rsidRDefault="00830DB7" w:rsidP="009168A2">
            <w:pPr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gridSpan w:val="2"/>
            <w:vAlign w:val="center"/>
          </w:tcPr>
          <w:p w14:paraId="1E179A7F" w14:textId="77777777" w:rsidR="00830DB7" w:rsidRPr="00F6210E" w:rsidRDefault="00830DB7" w:rsidP="009168A2">
            <w:pPr>
              <w:rPr>
                <w:sz w:val="18"/>
                <w:szCs w:val="18"/>
                <w:lang w:val="ru-RU"/>
              </w:rPr>
            </w:pPr>
            <w:r w:rsidRPr="00F6210E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0A8EC299" w14:textId="77777777" w:rsidR="00830DB7" w:rsidRPr="0082465B" w:rsidRDefault="00830DB7" w:rsidP="008E1439">
            <w:pPr>
              <w:rPr>
                <w:lang w:val="ru-RU"/>
              </w:rPr>
            </w:pPr>
          </w:p>
        </w:tc>
      </w:tr>
      <w:tr w:rsidR="00EA0590" w:rsidRPr="0082465B" w14:paraId="12780072" w14:textId="77777777" w:rsidTr="008E1439">
        <w:trPr>
          <w:trHeight w:val="340"/>
          <w:jc w:val="center"/>
        </w:trPr>
        <w:tc>
          <w:tcPr>
            <w:tcW w:w="10786" w:type="dxa"/>
            <w:gridSpan w:val="10"/>
            <w:shd w:val="clear" w:color="auto" w:fill="F3F3F3"/>
            <w:vAlign w:val="center"/>
          </w:tcPr>
          <w:p w14:paraId="2C2E9788" w14:textId="77777777" w:rsidR="00EA0590" w:rsidRPr="0082465B" w:rsidRDefault="00EA0590" w:rsidP="008E1439">
            <w:pPr>
              <w:rPr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НАПОМЕНА</w:t>
            </w:r>
            <w:r w:rsidRPr="0082465B">
              <w:rPr>
                <w:sz w:val="20"/>
                <w:szCs w:val="20"/>
                <w:lang w:val="ru-RU"/>
              </w:rPr>
              <w:t>: уколико је кандидат објавио више од 5 радова, додати нове редове у овај део документа</w:t>
            </w:r>
          </w:p>
        </w:tc>
      </w:tr>
      <w:tr w:rsidR="00EA0590" w:rsidRPr="0082465B" w14:paraId="78812927" w14:textId="77777777" w:rsidTr="008E1439">
        <w:trPr>
          <w:trHeight w:val="340"/>
          <w:jc w:val="center"/>
        </w:trPr>
        <w:tc>
          <w:tcPr>
            <w:tcW w:w="10786" w:type="dxa"/>
            <w:gridSpan w:val="10"/>
            <w:shd w:val="clear" w:color="auto" w:fill="D9D9D9"/>
            <w:vAlign w:val="center"/>
          </w:tcPr>
          <w:p w14:paraId="20B5C632" w14:textId="77777777" w:rsidR="00EA0590" w:rsidRPr="0082465B" w:rsidRDefault="00EA0590" w:rsidP="008E1439">
            <w:pPr>
              <w:jc w:val="center"/>
              <w:rPr>
                <w:b/>
                <w:lang w:val="ru-RU"/>
              </w:rPr>
            </w:pPr>
            <w:r w:rsidRPr="0082465B">
              <w:rPr>
                <w:rFonts w:eastAsia="TimesNewRomanPS-BoldMT"/>
                <w:b/>
                <w:lang w:val="sr-Cyrl-CS"/>
              </w:rPr>
              <w:t xml:space="preserve">ИСПУЊЕНОСТ УСЛОВА КАНДИДАТА ЗА </w:t>
            </w:r>
            <w:r w:rsidRPr="0082465B">
              <w:rPr>
                <w:rFonts w:eastAsia="TimesNewRomanPS-BoldMT"/>
                <w:b/>
                <w:lang w:val="sr-Cyrl-RS"/>
              </w:rPr>
              <w:t>ПОДНОШЕЊЕ ЗАХТЕВА ЗА ОДОБРАВАЊЕ</w:t>
            </w:r>
            <w:r w:rsidRPr="0082465B">
              <w:rPr>
                <w:rFonts w:eastAsia="TimesNewRomanPS-BoldMT"/>
                <w:b/>
                <w:lang w:val="sr-Cyrl-CS"/>
              </w:rPr>
              <w:t xml:space="preserve"> ТЕМЕ</w:t>
            </w:r>
          </w:p>
        </w:tc>
      </w:tr>
      <w:tr w:rsidR="00EA0590" w:rsidRPr="0082465B" w14:paraId="540B6157" w14:textId="77777777" w:rsidTr="008E1439">
        <w:trPr>
          <w:trHeight w:val="340"/>
          <w:jc w:val="center"/>
        </w:trPr>
        <w:tc>
          <w:tcPr>
            <w:tcW w:w="9725" w:type="dxa"/>
            <w:gridSpan w:val="8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0E14B7D4" w14:textId="77777777" w:rsidR="00EA0590" w:rsidRPr="0082465B" w:rsidRDefault="00EA0590" w:rsidP="008E1439">
            <w:pPr>
              <w:rPr>
                <w:b/>
                <w:sz w:val="20"/>
                <w:szCs w:val="20"/>
                <w:lang w:val="sr-Cyrl-RS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Кандидат испуњава услове</w:t>
            </w:r>
            <w:r w:rsidRPr="0082465B">
              <w:rPr>
                <w:b/>
                <w:sz w:val="20"/>
                <w:szCs w:val="20"/>
                <w:lang w:val="sr-Cyrl-CS"/>
              </w:rPr>
              <w:t xml:space="preserve"> предвиђене Законом о високом образовању, Статутом Универзитета и Статутом Факултета</w:t>
            </w:r>
            <w:r w:rsidRPr="0082465B">
              <w:rPr>
                <w:b/>
                <w:sz w:val="20"/>
                <w:szCs w:val="20"/>
                <w:lang w:val="sr-Cyrl-RS"/>
              </w:rPr>
              <w:t xml:space="preserve"> да поднесе захтев за одобравање теме докторске дисертације</w:t>
            </w:r>
          </w:p>
        </w:tc>
        <w:tc>
          <w:tcPr>
            <w:tcW w:w="540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4BDD00D4" w14:textId="77777777" w:rsidR="00EA0590" w:rsidRPr="009168A2" w:rsidRDefault="00EA0590" w:rsidP="008E143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9168A2">
              <w:rPr>
                <w:b/>
                <w:sz w:val="20"/>
                <w:szCs w:val="20"/>
                <w:highlight w:val="yellow"/>
                <w:lang w:val="ru-RU"/>
              </w:rPr>
              <w:t>ДА</w:t>
            </w:r>
          </w:p>
        </w:tc>
        <w:tc>
          <w:tcPr>
            <w:tcW w:w="521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7875A36C" w14:textId="77777777" w:rsidR="00EA0590" w:rsidRPr="0082465B" w:rsidRDefault="00EA0590" w:rsidP="008E143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НЕ</w:t>
            </w:r>
          </w:p>
        </w:tc>
      </w:tr>
      <w:tr w:rsidR="00EA0590" w:rsidRPr="0082465B" w14:paraId="10476A1F" w14:textId="77777777" w:rsidTr="008E1439">
        <w:trPr>
          <w:trHeight w:val="340"/>
          <w:jc w:val="center"/>
        </w:trPr>
        <w:tc>
          <w:tcPr>
            <w:tcW w:w="10786" w:type="dxa"/>
            <w:gridSpan w:val="10"/>
            <w:shd w:val="clear" w:color="auto" w:fill="auto"/>
            <w:vAlign w:val="center"/>
          </w:tcPr>
          <w:p w14:paraId="53A2313A" w14:textId="77777777" w:rsidR="00EA0590" w:rsidRPr="00830DB7" w:rsidRDefault="00830DB7" w:rsidP="000F42C9">
            <w:pPr>
              <w:rPr>
                <w:color w:val="808080"/>
                <w:sz w:val="20"/>
                <w:szCs w:val="20"/>
                <w:lang w:val="ru-RU"/>
              </w:rPr>
            </w:pPr>
            <w:r w:rsidRPr="00985AE8">
              <w:rPr>
                <w:lang w:val="sr-Cyrl-RS"/>
              </w:rPr>
              <w:t>Кандидат</w:t>
            </w:r>
            <w:r>
              <w:rPr>
                <w:lang w:val="sr-Cyrl-RS"/>
              </w:rPr>
              <w:t xml:space="preserve">киња </w:t>
            </w:r>
            <w:r w:rsidRPr="004D754D">
              <w:t>Александра Милановић</w:t>
            </w:r>
            <w:r w:rsidRPr="00985AE8">
              <w:rPr>
                <w:lang w:val="sr-Cyrl-RS"/>
              </w:rPr>
              <w:t xml:space="preserve"> је у претходном периоду полож</w:t>
            </w:r>
            <w:r>
              <w:rPr>
                <w:lang w:val="sr-Cyrl-RS"/>
              </w:rPr>
              <w:t>ила</w:t>
            </w:r>
            <w:r w:rsidRPr="00985AE8">
              <w:rPr>
                <w:lang w:val="sr-Cyrl-RS"/>
              </w:rPr>
              <w:t xml:space="preserve"> све испите и испуни</w:t>
            </w:r>
            <w:r>
              <w:rPr>
                <w:lang w:val="sr-Cyrl-RS"/>
              </w:rPr>
              <w:t>ла</w:t>
            </w:r>
            <w:r w:rsidRPr="00985AE8">
              <w:rPr>
                <w:lang w:val="sr-Cyrl-RS"/>
              </w:rPr>
              <w:t xml:space="preserve"> обавезе предвиђене програмом докторских студија. </w:t>
            </w:r>
            <w:r w:rsidR="000F42C9">
              <w:rPr>
                <w:lang w:val="sr-Cyrl-RS"/>
              </w:rPr>
              <w:t>Аутор је и коаутор</w:t>
            </w:r>
            <w:r w:rsidRPr="00985AE8">
              <w:rPr>
                <w:lang w:val="sr-Cyrl-RS"/>
              </w:rPr>
              <w:t xml:space="preserve"> радова у релевантним часописима и зборницима </w:t>
            </w:r>
            <w:r>
              <w:rPr>
                <w:lang w:val="sr-Cyrl-RS"/>
              </w:rPr>
              <w:t xml:space="preserve">радова </w:t>
            </w:r>
            <w:r w:rsidRPr="00985AE8">
              <w:rPr>
                <w:lang w:val="sr-Cyrl-RS"/>
              </w:rPr>
              <w:t xml:space="preserve">из уже научне области </w:t>
            </w:r>
            <w:r w:rsidRPr="00271887">
              <w:rPr>
                <w:i/>
                <w:lang w:val="sr-Cyrl-RS"/>
              </w:rPr>
              <w:t>Педагогија</w:t>
            </w:r>
            <w:r>
              <w:rPr>
                <w:lang w:val="sr-Cyrl-RS"/>
              </w:rPr>
              <w:t xml:space="preserve">, </w:t>
            </w:r>
            <w:r w:rsidRPr="00985AE8">
              <w:rPr>
                <w:lang w:val="sr-Cyrl-RS"/>
              </w:rPr>
              <w:t>којој припада и пријављена тема докторске дисертације, чиме је испуни</w:t>
            </w:r>
            <w:r>
              <w:rPr>
                <w:lang w:val="sr-Cyrl-RS"/>
              </w:rPr>
              <w:t xml:space="preserve">ла </w:t>
            </w:r>
            <w:r w:rsidRPr="00985AE8">
              <w:rPr>
                <w:lang w:val="sr-Cyrl-RS"/>
              </w:rPr>
              <w:t xml:space="preserve">све законске, формалне и суштинске услове да приступи изради дисертације.   </w:t>
            </w:r>
          </w:p>
        </w:tc>
      </w:tr>
      <w:tr w:rsidR="00EA0590" w:rsidRPr="0082465B" w14:paraId="1A6D1B40" w14:textId="77777777" w:rsidTr="008E1439">
        <w:trPr>
          <w:trHeight w:val="340"/>
          <w:jc w:val="center"/>
        </w:trPr>
        <w:tc>
          <w:tcPr>
            <w:tcW w:w="10786" w:type="dxa"/>
            <w:gridSpan w:val="10"/>
            <w:shd w:val="clear" w:color="auto" w:fill="D9D9D9"/>
            <w:vAlign w:val="center"/>
          </w:tcPr>
          <w:p w14:paraId="1EBED7E4" w14:textId="77777777" w:rsidR="00EA0590" w:rsidRPr="00F6210E" w:rsidRDefault="00EA0590" w:rsidP="008E1439">
            <w:pPr>
              <w:jc w:val="center"/>
              <w:rPr>
                <w:b/>
                <w:lang w:val="ru-RU"/>
              </w:rPr>
            </w:pPr>
            <w:r w:rsidRPr="00F6210E">
              <w:rPr>
                <w:rFonts w:eastAsia="TimesNewRomanPS-BoldMT"/>
                <w:b/>
                <w:lang w:val="sr-Cyrl-CS"/>
              </w:rPr>
              <w:t>ИСПУЊЕНОСТ УСЛОВА МЕНТОРА</w:t>
            </w:r>
          </w:p>
        </w:tc>
      </w:tr>
      <w:tr w:rsidR="00EA0590" w:rsidRPr="0082465B" w14:paraId="7666F5F9" w14:textId="77777777" w:rsidTr="008E1439">
        <w:trPr>
          <w:trHeight w:val="72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66BB1C6C" w14:textId="77777777" w:rsidR="00EA0590" w:rsidRPr="00F6210E" w:rsidRDefault="00EA0590" w:rsidP="008E1439">
            <w:pPr>
              <w:rPr>
                <w:lang w:val="ru-RU"/>
              </w:rPr>
            </w:pPr>
            <w:r w:rsidRPr="00F6210E">
              <w:rPr>
                <w:rFonts w:eastAsia="TimesNewRomanPS-BoldMT"/>
                <w:lang w:val="sr-Cyrl-CS"/>
              </w:rPr>
              <w:t>Име и презиме</w:t>
            </w:r>
            <w:r w:rsidRPr="00F6210E">
              <w:rPr>
                <w:rFonts w:eastAsia="TimesNewRomanPS-BoldMT"/>
              </w:rPr>
              <w:t>,</w:t>
            </w:r>
            <w:r w:rsidRPr="00F6210E">
              <w:rPr>
                <w:rFonts w:eastAsia="TimesNewRomanPS-BoldMT"/>
                <w:lang w:val="sr-Cyrl-CS"/>
              </w:rPr>
              <w:t xml:space="preserve"> звање</w:t>
            </w:r>
          </w:p>
        </w:tc>
        <w:tc>
          <w:tcPr>
            <w:tcW w:w="8450" w:type="dxa"/>
            <w:gridSpan w:val="8"/>
            <w:tcMar>
              <w:left w:w="57" w:type="dxa"/>
              <w:right w:w="57" w:type="dxa"/>
            </w:tcMar>
            <w:vAlign w:val="center"/>
          </w:tcPr>
          <w:p w14:paraId="333E4196" w14:textId="77777777" w:rsidR="00EA0590" w:rsidRPr="00F6210E" w:rsidRDefault="00830DB7" w:rsidP="00830DB7">
            <w:pPr>
              <w:rPr>
                <w:lang w:val="ru-RU"/>
              </w:rPr>
            </w:pPr>
            <w:r w:rsidRPr="00F6210E">
              <w:rPr>
                <w:lang w:val="ru-RU"/>
              </w:rPr>
              <w:t>Јелена Максимовић</w:t>
            </w:r>
            <w:r w:rsidRPr="00F6210E">
              <w:rPr>
                <w:lang w:val="sr-Latn-RS"/>
              </w:rPr>
              <w:t xml:space="preserve">, </w:t>
            </w:r>
            <w:r w:rsidRPr="00F6210E">
              <w:rPr>
                <w:lang w:val="ru-RU"/>
              </w:rPr>
              <w:t>Редовни професор</w:t>
            </w:r>
          </w:p>
        </w:tc>
      </w:tr>
      <w:tr w:rsidR="00EA0590" w:rsidRPr="0082465B" w14:paraId="4444C6D5" w14:textId="77777777" w:rsidTr="008E1439">
        <w:trPr>
          <w:trHeight w:val="20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66F75388" w14:textId="77777777" w:rsidR="00EA0590" w:rsidRPr="00F6210E" w:rsidRDefault="00EA0590" w:rsidP="008E1439">
            <w:pPr>
              <w:rPr>
                <w:lang w:val="ru-RU"/>
              </w:rPr>
            </w:pPr>
            <w:r w:rsidRPr="00F6210E">
              <w:rPr>
                <w:rFonts w:eastAsia="TimesNewRomanPS-BoldMT"/>
                <w:lang w:val="sr-Cyrl-CS"/>
              </w:rPr>
              <w:t>Ужа научна област за коју је изабран у звање</w:t>
            </w:r>
          </w:p>
        </w:tc>
        <w:tc>
          <w:tcPr>
            <w:tcW w:w="8450" w:type="dxa"/>
            <w:gridSpan w:val="8"/>
            <w:tcMar>
              <w:left w:w="57" w:type="dxa"/>
              <w:right w:w="57" w:type="dxa"/>
            </w:tcMar>
            <w:vAlign w:val="center"/>
          </w:tcPr>
          <w:p w14:paraId="394C6ED5" w14:textId="77777777" w:rsidR="00EA0590" w:rsidRPr="00F6210E" w:rsidRDefault="00830DB7" w:rsidP="008E1439">
            <w:pPr>
              <w:rPr>
                <w:lang w:val="ru-RU"/>
              </w:rPr>
            </w:pPr>
            <w:r w:rsidRPr="00F6210E">
              <w:rPr>
                <w:lang w:val="ru-RU"/>
              </w:rPr>
              <w:t>Педагогија</w:t>
            </w:r>
          </w:p>
        </w:tc>
      </w:tr>
      <w:tr w:rsidR="00EA0590" w:rsidRPr="0082465B" w14:paraId="4C25331F" w14:textId="77777777" w:rsidTr="008E1439">
        <w:trPr>
          <w:trHeight w:val="20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1D8CB0F9" w14:textId="77777777" w:rsidR="00EA0590" w:rsidRPr="00F6210E" w:rsidRDefault="00EA0590" w:rsidP="008E1439">
            <w:pPr>
              <w:rPr>
                <w:lang w:val="ru-RU"/>
              </w:rPr>
            </w:pPr>
            <w:r w:rsidRPr="00F6210E">
              <w:rPr>
                <w:rFonts w:eastAsia="TimesNewRomanPS-BoldMT"/>
                <w:lang w:val="sr-Cyrl-CS"/>
              </w:rPr>
              <w:t>Датум избора</w:t>
            </w:r>
          </w:p>
        </w:tc>
        <w:tc>
          <w:tcPr>
            <w:tcW w:w="8450" w:type="dxa"/>
            <w:gridSpan w:val="8"/>
            <w:tcMar>
              <w:left w:w="57" w:type="dxa"/>
              <w:right w:w="57" w:type="dxa"/>
            </w:tcMar>
            <w:vAlign w:val="center"/>
          </w:tcPr>
          <w:p w14:paraId="396E00E5" w14:textId="77777777" w:rsidR="00EA0590" w:rsidRPr="00F6210E" w:rsidRDefault="00830DB7" w:rsidP="008E1439">
            <w:pPr>
              <w:rPr>
                <w:lang w:val="ru-RU"/>
              </w:rPr>
            </w:pPr>
            <w:r w:rsidRPr="00F6210E">
              <w:t>13.</w:t>
            </w:r>
            <w:r w:rsidR="009168A2" w:rsidRPr="00F6210E">
              <w:t xml:space="preserve"> </w:t>
            </w:r>
            <w:r w:rsidRPr="00F6210E">
              <w:t>4.</w:t>
            </w:r>
            <w:r w:rsidR="009168A2" w:rsidRPr="00F6210E">
              <w:t xml:space="preserve"> </w:t>
            </w:r>
            <w:r w:rsidRPr="00F6210E">
              <w:t>2021.</w:t>
            </w:r>
            <w:r w:rsidRPr="00F6210E">
              <w:rPr>
                <w:lang w:val="sr-Cyrl-RS"/>
              </w:rPr>
              <w:t xml:space="preserve"> године</w:t>
            </w:r>
          </w:p>
        </w:tc>
      </w:tr>
      <w:tr w:rsidR="00EA0590" w:rsidRPr="0082465B" w14:paraId="184F28A8" w14:textId="77777777" w:rsidTr="008E1439">
        <w:trPr>
          <w:trHeight w:val="20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4A27159C" w14:textId="77777777" w:rsidR="00EA0590" w:rsidRPr="00F6210E" w:rsidRDefault="00EA0590" w:rsidP="008E1439">
            <w:pPr>
              <w:rPr>
                <w:rFonts w:eastAsia="TimesNewRomanPS-BoldMT"/>
                <w:lang w:val="sr-Cyrl-CS"/>
              </w:rPr>
            </w:pPr>
            <w:r w:rsidRPr="00F6210E">
              <w:rPr>
                <w:lang w:val="sr-Cyrl-CS"/>
              </w:rPr>
              <w:t>Установа у којој је запослен</w:t>
            </w:r>
          </w:p>
        </w:tc>
        <w:tc>
          <w:tcPr>
            <w:tcW w:w="8450" w:type="dxa"/>
            <w:gridSpan w:val="8"/>
            <w:tcMar>
              <w:left w:w="57" w:type="dxa"/>
              <w:right w:w="57" w:type="dxa"/>
            </w:tcMar>
            <w:vAlign w:val="center"/>
          </w:tcPr>
          <w:p w14:paraId="5874EA58" w14:textId="77777777" w:rsidR="00EA0590" w:rsidRPr="00F6210E" w:rsidRDefault="00830DB7" w:rsidP="008E1439">
            <w:pPr>
              <w:rPr>
                <w:lang w:val="ru-RU"/>
              </w:rPr>
            </w:pPr>
            <w:r w:rsidRPr="00F6210E">
              <w:t>Филозофски факултет, Универзитет у Нишу</w:t>
            </w:r>
          </w:p>
        </w:tc>
      </w:tr>
      <w:tr w:rsidR="00EA0590" w:rsidRPr="0082465B" w14:paraId="7653CCB5" w14:textId="77777777" w:rsidTr="008E1439">
        <w:trPr>
          <w:trHeight w:val="70"/>
          <w:jc w:val="center"/>
        </w:trPr>
        <w:tc>
          <w:tcPr>
            <w:tcW w:w="2336" w:type="dxa"/>
            <w:gridSpan w:val="2"/>
            <w:tcBorders>
              <w:bottom w:val="single" w:sz="4" w:space="0" w:color="C0C0C0"/>
            </w:tcBorders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2FD78415" w14:textId="77777777" w:rsidR="00EA0590" w:rsidRPr="00F6210E" w:rsidRDefault="00EA0590" w:rsidP="008E1439">
            <w:pPr>
              <w:rPr>
                <w:rFonts w:eastAsia="TimesNewRomanPS-BoldMT"/>
                <w:lang w:val="sr-Cyrl-CS"/>
              </w:rPr>
            </w:pPr>
            <w:r w:rsidRPr="00F6210E">
              <w:rPr>
                <w:rFonts w:eastAsia="TimesNewRomanPS-BoldMT"/>
                <w:lang w:val="sr-Cyrl-CS"/>
              </w:rPr>
              <w:t>Е-пошта</w:t>
            </w:r>
          </w:p>
        </w:tc>
        <w:tc>
          <w:tcPr>
            <w:tcW w:w="8450" w:type="dxa"/>
            <w:gridSpan w:val="8"/>
            <w:tcBorders>
              <w:bottom w:val="single" w:sz="4" w:space="0" w:color="C0C0C0"/>
            </w:tcBorders>
            <w:tcMar>
              <w:left w:w="57" w:type="dxa"/>
              <w:right w:w="57" w:type="dxa"/>
            </w:tcMar>
            <w:vAlign w:val="center"/>
          </w:tcPr>
          <w:p w14:paraId="79F2E54E" w14:textId="77777777" w:rsidR="00EA0590" w:rsidRPr="00F6210E" w:rsidRDefault="00451BEA" w:rsidP="008E1439">
            <w:pPr>
              <w:rPr>
                <w:lang w:val="ru-RU"/>
              </w:rPr>
            </w:pPr>
            <w:hyperlink r:id="rId6" w:history="1">
              <w:r w:rsidR="00830DB7" w:rsidRPr="00F6210E">
                <w:rPr>
                  <w:rStyle w:val="Hyperlink"/>
                </w:rPr>
                <w:t>jelena.maksimovic@filfak.ni.ac.rs</w:t>
              </w:r>
            </w:hyperlink>
          </w:p>
        </w:tc>
      </w:tr>
      <w:tr w:rsidR="00EA0590" w:rsidRPr="0082465B" w14:paraId="62B56691" w14:textId="77777777" w:rsidTr="008E1439">
        <w:trPr>
          <w:trHeight w:val="340"/>
          <w:jc w:val="center"/>
        </w:trPr>
        <w:tc>
          <w:tcPr>
            <w:tcW w:w="10786" w:type="dxa"/>
            <w:gridSpan w:val="10"/>
            <w:shd w:val="clear" w:color="auto" w:fill="F3F3F3"/>
            <w:vAlign w:val="center"/>
          </w:tcPr>
          <w:p w14:paraId="07E120D6" w14:textId="77777777" w:rsidR="00EA0590" w:rsidRPr="0082465B" w:rsidRDefault="00EA0590" w:rsidP="008E143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Најзначајнији радови ментора из научне области којој припада тема докторске дисертације</w:t>
            </w:r>
          </w:p>
        </w:tc>
      </w:tr>
      <w:tr w:rsidR="00EA0590" w:rsidRPr="00C4301A" w14:paraId="2C749E0F" w14:textId="77777777" w:rsidTr="008E1439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642CA4B0" w14:textId="77777777" w:rsidR="00EA0590" w:rsidRPr="00C4301A" w:rsidRDefault="00EA0590" w:rsidP="008E1439">
            <w:pPr>
              <w:rPr>
                <w:b/>
                <w:sz w:val="18"/>
                <w:szCs w:val="18"/>
                <w:lang w:val="ru-RU"/>
              </w:rPr>
            </w:pPr>
            <w:r w:rsidRPr="00C4301A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9178" w:type="dxa"/>
            <w:gridSpan w:val="7"/>
            <w:vAlign w:val="center"/>
          </w:tcPr>
          <w:p w14:paraId="1FB6CFE0" w14:textId="77777777" w:rsidR="00EA0590" w:rsidRPr="00C4301A" w:rsidRDefault="00EA0590" w:rsidP="008E1439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C4301A">
              <w:rPr>
                <w:b/>
                <w:sz w:val="18"/>
                <w:szCs w:val="18"/>
                <w:lang w:val="ru-RU"/>
              </w:rPr>
              <w:t>Аутор-и, наслов, часопис, година, број волумена, странице</w:t>
            </w:r>
          </w:p>
        </w:tc>
        <w:tc>
          <w:tcPr>
            <w:tcW w:w="1061" w:type="dxa"/>
            <w:gridSpan w:val="2"/>
            <w:vAlign w:val="center"/>
          </w:tcPr>
          <w:p w14:paraId="43519958" w14:textId="77777777" w:rsidR="00EA0590" w:rsidRPr="00C4301A" w:rsidRDefault="00EA0590" w:rsidP="008E1439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C4301A">
              <w:rPr>
                <w:b/>
                <w:sz w:val="18"/>
                <w:szCs w:val="18"/>
                <w:lang w:val="ru-RU"/>
              </w:rPr>
              <w:t>Категорија</w:t>
            </w:r>
          </w:p>
        </w:tc>
      </w:tr>
      <w:tr w:rsidR="00EA0590" w:rsidRPr="00C4301A" w14:paraId="3E86D501" w14:textId="77777777" w:rsidTr="0087531D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10E07E2B" w14:textId="77777777" w:rsidR="00EA0590" w:rsidRPr="00C4301A" w:rsidRDefault="00EA0590" w:rsidP="008E1439">
            <w:pPr>
              <w:jc w:val="center"/>
              <w:rPr>
                <w:sz w:val="18"/>
                <w:szCs w:val="18"/>
                <w:lang w:val="sr-Latn-RS"/>
              </w:rPr>
            </w:pPr>
            <w:r w:rsidRPr="00C4301A">
              <w:rPr>
                <w:sz w:val="18"/>
                <w:szCs w:val="18"/>
                <w:lang w:val="ru-RU"/>
              </w:rPr>
              <w:t>1</w:t>
            </w:r>
            <w:r w:rsidR="0056378B" w:rsidRPr="00C4301A">
              <w:rPr>
                <w:sz w:val="18"/>
                <w:szCs w:val="18"/>
                <w:lang w:val="sr-Latn-RS"/>
              </w:rPr>
              <w:t>.</w:t>
            </w:r>
          </w:p>
        </w:tc>
        <w:tc>
          <w:tcPr>
            <w:tcW w:w="9178" w:type="dxa"/>
            <w:gridSpan w:val="7"/>
            <w:vAlign w:val="center"/>
          </w:tcPr>
          <w:p w14:paraId="0F54ED7F" w14:textId="77777777" w:rsidR="00EA0590" w:rsidRPr="00C4301A" w:rsidRDefault="00C4301A" w:rsidP="00C4301A">
            <w:pPr>
              <w:rPr>
                <w:color w:val="000000"/>
                <w:sz w:val="18"/>
                <w:szCs w:val="18"/>
                <w:lang w:val="en-US"/>
              </w:rPr>
            </w:pPr>
            <w:r w:rsidRPr="0056378B">
              <w:rPr>
                <w:b/>
                <w:color w:val="000000"/>
                <w:sz w:val="18"/>
                <w:szCs w:val="18"/>
                <w:lang w:val="sr-Latn-RS"/>
              </w:rPr>
              <w:t>Maksimović, J</w:t>
            </w:r>
            <w:r w:rsidRPr="0056378B">
              <w:rPr>
                <w:b/>
                <w:color w:val="000000"/>
                <w:sz w:val="18"/>
                <w:szCs w:val="18"/>
                <w:lang w:val="sr-Cyrl-RS"/>
              </w:rPr>
              <w:t>.</w:t>
            </w:r>
            <w:r w:rsidRPr="0056378B">
              <w:rPr>
                <w:b/>
                <w:color w:val="000000"/>
                <w:sz w:val="18"/>
                <w:szCs w:val="18"/>
                <w:lang w:val="sr-Latn-RS"/>
              </w:rPr>
              <w:t xml:space="preserve"> </w:t>
            </w:r>
            <w:r w:rsidRPr="0056378B">
              <w:rPr>
                <w:color w:val="000000"/>
                <w:sz w:val="18"/>
                <w:szCs w:val="18"/>
                <w:lang w:val="sr-Latn-RS"/>
              </w:rPr>
              <w:t>(2017)</w:t>
            </w:r>
            <w:r w:rsidRPr="0056378B">
              <w:rPr>
                <w:color w:val="000000"/>
                <w:sz w:val="18"/>
                <w:szCs w:val="18"/>
                <w:lang w:val="sr-Cyrl-RS"/>
              </w:rPr>
              <w:t>.</w:t>
            </w:r>
            <w:r w:rsidRPr="0056378B">
              <w:rPr>
                <w:color w:val="000000"/>
                <w:sz w:val="18"/>
                <w:szCs w:val="18"/>
                <w:lang w:val="sr-Latn-RS"/>
              </w:rPr>
              <w:t xml:space="preserve"> </w:t>
            </w:r>
            <w:proofErr w:type="spellStart"/>
            <w:r w:rsidRPr="0056378B">
              <w:rPr>
                <w:i/>
                <w:color w:val="000000"/>
                <w:sz w:val="18"/>
                <w:szCs w:val="18"/>
                <w:lang w:val="en-US"/>
              </w:rPr>
              <w:t>Akciona</w:t>
            </w:r>
            <w:proofErr w:type="spellEnd"/>
            <w:r w:rsidRPr="0056378B">
              <w:rPr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378B">
              <w:rPr>
                <w:i/>
                <w:color w:val="000000"/>
                <w:sz w:val="18"/>
                <w:szCs w:val="18"/>
                <w:lang w:val="en-US"/>
              </w:rPr>
              <w:t>istraživanja</w:t>
            </w:r>
            <w:proofErr w:type="spellEnd"/>
            <w:r w:rsidRPr="0056378B">
              <w:rPr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378B">
              <w:rPr>
                <w:i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56378B">
              <w:rPr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378B">
              <w:rPr>
                <w:i/>
                <w:color w:val="000000"/>
                <w:sz w:val="18"/>
                <w:szCs w:val="18"/>
                <w:lang w:val="en-US"/>
              </w:rPr>
              <w:t>refleksivna</w:t>
            </w:r>
            <w:proofErr w:type="spellEnd"/>
            <w:r w:rsidRPr="0056378B">
              <w:rPr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378B">
              <w:rPr>
                <w:i/>
                <w:color w:val="000000"/>
                <w:sz w:val="18"/>
                <w:szCs w:val="18"/>
                <w:lang w:val="en-US"/>
              </w:rPr>
              <w:t>praksa</w:t>
            </w:r>
            <w:proofErr w:type="spellEnd"/>
            <w:r w:rsidRPr="0056378B">
              <w:rPr>
                <w:color w:val="000000"/>
                <w:sz w:val="18"/>
                <w:szCs w:val="18"/>
                <w:lang w:val="en-US"/>
              </w:rPr>
              <w:t>.  </w:t>
            </w:r>
            <w:proofErr w:type="spellStart"/>
            <w:r w:rsidRPr="0056378B">
              <w:rPr>
                <w:color w:val="000000"/>
                <w:sz w:val="18"/>
                <w:szCs w:val="18"/>
                <w:lang w:val="en-US"/>
              </w:rPr>
              <w:t>Niš</w:t>
            </w:r>
            <w:proofErr w:type="spellEnd"/>
            <w:r w:rsidRPr="0056378B">
              <w:rPr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56378B">
              <w:rPr>
                <w:color w:val="000000"/>
                <w:sz w:val="18"/>
                <w:szCs w:val="18"/>
                <w:lang w:val="en-US"/>
              </w:rPr>
              <w:t>Univerzitet</w:t>
            </w:r>
            <w:proofErr w:type="spellEnd"/>
            <w:r w:rsidRPr="0056378B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6378B">
              <w:rPr>
                <w:color w:val="000000"/>
                <w:sz w:val="18"/>
                <w:szCs w:val="18"/>
                <w:lang w:val="sr-Latn-RS"/>
              </w:rPr>
              <w:t>u Nišu</w:t>
            </w:r>
            <w:r w:rsidRPr="00C4301A">
              <w:rPr>
                <w:color w:val="000000"/>
                <w:sz w:val="18"/>
                <w:szCs w:val="18"/>
                <w:lang w:val="en-US"/>
              </w:rPr>
              <w:t>. ISBN 978-86-7181-101-9</w:t>
            </w:r>
          </w:p>
        </w:tc>
        <w:tc>
          <w:tcPr>
            <w:tcW w:w="1061" w:type="dxa"/>
            <w:gridSpan w:val="2"/>
            <w:vAlign w:val="center"/>
          </w:tcPr>
          <w:p w14:paraId="4827EB9E" w14:textId="77777777" w:rsidR="00EA0590" w:rsidRPr="00C4301A" w:rsidRDefault="00830DB7" w:rsidP="0087531D">
            <w:pPr>
              <w:jc w:val="center"/>
              <w:rPr>
                <w:sz w:val="18"/>
                <w:szCs w:val="18"/>
                <w:lang w:val="sr-Latn-RS"/>
              </w:rPr>
            </w:pPr>
            <w:r w:rsidRPr="00C4301A">
              <w:rPr>
                <w:sz w:val="18"/>
                <w:szCs w:val="18"/>
                <w:lang w:val="ru-RU"/>
              </w:rPr>
              <w:t>М</w:t>
            </w:r>
            <w:r w:rsidR="00C4301A" w:rsidRPr="00C4301A">
              <w:rPr>
                <w:sz w:val="18"/>
                <w:szCs w:val="18"/>
                <w:lang w:val="sr-Latn-RS"/>
              </w:rPr>
              <w:t>47</w:t>
            </w:r>
          </w:p>
        </w:tc>
      </w:tr>
      <w:tr w:rsidR="00EA0590" w:rsidRPr="00C4301A" w14:paraId="1CB752C8" w14:textId="77777777" w:rsidTr="0087531D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55A66193" w14:textId="77777777" w:rsidR="00EA0590" w:rsidRPr="00C4301A" w:rsidRDefault="00EA0590" w:rsidP="008E1439">
            <w:pPr>
              <w:jc w:val="center"/>
              <w:rPr>
                <w:sz w:val="18"/>
                <w:szCs w:val="18"/>
                <w:lang w:val="sr-Latn-RS"/>
              </w:rPr>
            </w:pPr>
            <w:r w:rsidRPr="00C4301A">
              <w:rPr>
                <w:sz w:val="18"/>
                <w:szCs w:val="18"/>
                <w:lang w:val="ru-RU"/>
              </w:rPr>
              <w:t>2</w:t>
            </w:r>
            <w:r w:rsidR="0056378B" w:rsidRPr="00C4301A">
              <w:rPr>
                <w:sz w:val="18"/>
                <w:szCs w:val="18"/>
                <w:lang w:val="sr-Latn-RS"/>
              </w:rPr>
              <w:t>.</w:t>
            </w:r>
          </w:p>
        </w:tc>
        <w:tc>
          <w:tcPr>
            <w:tcW w:w="9178" w:type="dxa"/>
            <w:gridSpan w:val="7"/>
            <w:vAlign w:val="center"/>
          </w:tcPr>
          <w:p w14:paraId="6AFA38EA" w14:textId="77777777" w:rsidR="00EA0590" w:rsidRPr="00C4301A" w:rsidRDefault="00C4301A" w:rsidP="00F42AF0">
            <w:pPr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</w:pPr>
            <w:proofErr w:type="spellStart"/>
            <w:r w:rsidRPr="00C4301A"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  <w:t>Kožuh</w:t>
            </w:r>
            <w:proofErr w:type="spellEnd"/>
            <w:r w:rsidRPr="00C4301A"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  <w:t xml:space="preserve">, A., </w:t>
            </w:r>
            <w:proofErr w:type="spellStart"/>
            <w:r w:rsidRPr="00C4301A"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en-US"/>
              </w:rPr>
              <w:t>Maksimović</w:t>
            </w:r>
            <w:proofErr w:type="spellEnd"/>
            <w:r w:rsidRPr="00C4301A"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en-US"/>
              </w:rPr>
              <w:t>, J</w:t>
            </w:r>
            <w:r w:rsidRPr="00C4301A"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  <w:t xml:space="preserve">. &amp; </w:t>
            </w:r>
            <w:proofErr w:type="spellStart"/>
            <w:r w:rsidRPr="00C4301A"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  <w:t>Osmanović</w:t>
            </w:r>
            <w:proofErr w:type="spellEnd"/>
            <w:r w:rsidRPr="00C4301A"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4301A"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  <w:t>Zajić</w:t>
            </w:r>
            <w:proofErr w:type="spellEnd"/>
            <w:r w:rsidRPr="00C4301A"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  <w:t xml:space="preserve">, J. (2021). Fourth Industrial Revolution and digital competences of teachers. </w:t>
            </w:r>
            <w:r w:rsidRPr="00C4301A">
              <w:rPr>
                <w:rFonts w:eastAsia="Calibri"/>
                <w:i/>
                <w:iCs/>
                <w:sz w:val="18"/>
                <w:szCs w:val="18"/>
                <w:shd w:val="clear" w:color="auto" w:fill="FFFFFF"/>
                <w:lang w:val="en-US"/>
              </w:rPr>
              <w:t>World Journal on Educational Technology: Current Issues</w:t>
            </w:r>
            <w:r w:rsidRPr="00C4301A"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  <w:t xml:space="preserve">, 13(2), 160-177. </w:t>
            </w:r>
            <w:hyperlink r:id="rId7" w:history="1">
              <w:r w:rsidRPr="00C4301A">
                <w:rPr>
                  <w:rStyle w:val="Hyperlink"/>
                  <w:rFonts w:eastAsia="Calibri"/>
                  <w:sz w:val="18"/>
                  <w:szCs w:val="18"/>
                  <w:shd w:val="clear" w:color="auto" w:fill="FFFFFF"/>
                  <w:lang w:val="en-US"/>
                </w:rPr>
                <w:t>https://doi.org/10.18844/wjet.v13i2.5651</w:t>
              </w:r>
            </w:hyperlink>
          </w:p>
        </w:tc>
        <w:tc>
          <w:tcPr>
            <w:tcW w:w="1061" w:type="dxa"/>
            <w:gridSpan w:val="2"/>
            <w:vAlign w:val="center"/>
          </w:tcPr>
          <w:p w14:paraId="1C665428" w14:textId="77777777" w:rsidR="00EA0590" w:rsidRPr="00C4301A" w:rsidRDefault="00830DB7" w:rsidP="0087531D">
            <w:pPr>
              <w:jc w:val="center"/>
              <w:rPr>
                <w:sz w:val="18"/>
                <w:szCs w:val="18"/>
                <w:lang w:val="sr-Latn-RS"/>
              </w:rPr>
            </w:pPr>
            <w:r w:rsidRPr="00C4301A">
              <w:rPr>
                <w:sz w:val="18"/>
                <w:szCs w:val="18"/>
                <w:lang w:val="ru-RU"/>
              </w:rPr>
              <w:t>М</w:t>
            </w:r>
            <w:r w:rsidR="00F42AF0" w:rsidRPr="00C4301A">
              <w:rPr>
                <w:sz w:val="18"/>
                <w:szCs w:val="18"/>
                <w:lang w:val="sr-Latn-RS"/>
              </w:rPr>
              <w:t>23</w:t>
            </w:r>
          </w:p>
        </w:tc>
      </w:tr>
      <w:tr w:rsidR="00EA0590" w:rsidRPr="00C4301A" w14:paraId="2B254207" w14:textId="77777777" w:rsidTr="0087531D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3FEF8ABD" w14:textId="77777777" w:rsidR="00EA0590" w:rsidRPr="00C4301A" w:rsidRDefault="00EA0590" w:rsidP="008E1439">
            <w:pPr>
              <w:jc w:val="center"/>
              <w:rPr>
                <w:sz w:val="18"/>
                <w:szCs w:val="18"/>
                <w:lang w:val="sr-Latn-RS"/>
              </w:rPr>
            </w:pPr>
            <w:bookmarkStart w:id="0" w:name="_Hlk83044043"/>
            <w:r w:rsidRPr="00C4301A">
              <w:rPr>
                <w:sz w:val="18"/>
                <w:szCs w:val="18"/>
                <w:lang w:val="ru-RU"/>
              </w:rPr>
              <w:lastRenderedPageBreak/>
              <w:t>3</w:t>
            </w:r>
            <w:r w:rsidR="0056378B" w:rsidRPr="00C4301A">
              <w:rPr>
                <w:sz w:val="18"/>
                <w:szCs w:val="18"/>
                <w:lang w:val="sr-Latn-RS"/>
              </w:rPr>
              <w:t>.</w:t>
            </w:r>
          </w:p>
        </w:tc>
        <w:tc>
          <w:tcPr>
            <w:tcW w:w="9178" w:type="dxa"/>
            <w:gridSpan w:val="7"/>
            <w:vAlign w:val="center"/>
          </w:tcPr>
          <w:p w14:paraId="63AA4475" w14:textId="77777777" w:rsidR="00EA0590" w:rsidRPr="00C4301A" w:rsidRDefault="0056378B" w:rsidP="00F42AF0">
            <w:pPr>
              <w:rPr>
                <w:color w:val="000000"/>
                <w:sz w:val="18"/>
                <w:szCs w:val="18"/>
                <w:lang w:val="en-US"/>
              </w:rPr>
            </w:pPr>
            <w:bookmarkStart w:id="1" w:name="__DdeLink__2441_1890189202"/>
            <w:r w:rsidRPr="0056378B">
              <w:rPr>
                <w:b/>
                <w:color w:val="000000"/>
                <w:sz w:val="18"/>
                <w:szCs w:val="18"/>
                <w:lang w:val="sr-Latn-RS"/>
              </w:rPr>
              <w:t>Maksimović, J.</w:t>
            </w:r>
            <w:r w:rsidRPr="0056378B">
              <w:rPr>
                <w:color w:val="000000"/>
                <w:sz w:val="18"/>
                <w:szCs w:val="18"/>
                <w:lang w:val="sr-Latn-RS"/>
              </w:rPr>
              <w:t xml:space="preserve">, Osmanović, J. &amp; Stošić, L. (2018). </w:t>
            </w:r>
            <w:r w:rsidRPr="0056378B">
              <w:rPr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Teachers as reflective practitioners with the function of improving educational practice in primary schools in Serbia. </w:t>
            </w:r>
            <w:proofErr w:type="spellStart"/>
            <w:r w:rsidRPr="0056378B">
              <w:rPr>
                <w:i/>
                <w:color w:val="000000"/>
                <w:kern w:val="2"/>
                <w:sz w:val="18"/>
                <w:szCs w:val="18"/>
                <w:shd w:val="clear" w:color="auto" w:fill="FFFFFF"/>
                <w:lang w:val="en-US"/>
              </w:rPr>
              <w:t>Sodobna</w:t>
            </w:r>
            <w:proofErr w:type="spellEnd"/>
            <w:r w:rsidRPr="0056378B">
              <w:rPr>
                <w:i/>
                <w:color w:val="000000"/>
                <w:kern w:val="2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56378B">
              <w:rPr>
                <w:i/>
                <w:color w:val="000000"/>
                <w:kern w:val="2"/>
                <w:sz w:val="18"/>
                <w:szCs w:val="18"/>
                <w:shd w:val="clear" w:color="auto" w:fill="FFFFFF"/>
                <w:lang w:val="en-US"/>
              </w:rPr>
              <w:t>pedagogika</w:t>
            </w:r>
            <w:proofErr w:type="spellEnd"/>
            <w:r w:rsidRPr="0056378B">
              <w:rPr>
                <w:i/>
                <w:color w:val="000000"/>
                <w:kern w:val="2"/>
                <w:sz w:val="18"/>
                <w:szCs w:val="18"/>
                <w:shd w:val="clear" w:color="auto" w:fill="FFFFFF"/>
                <w:lang w:val="en-US"/>
              </w:rPr>
              <w:t>/Journal of Contemporary Educational Studies</w:t>
            </w:r>
            <w:r w:rsidRPr="0056378B">
              <w:rPr>
                <w:color w:val="000000"/>
                <w:kern w:val="2"/>
                <w:sz w:val="18"/>
                <w:szCs w:val="18"/>
                <w:lang w:val="en-US"/>
              </w:rPr>
              <w:t xml:space="preserve">, </w:t>
            </w:r>
            <w:r w:rsidRPr="0056378B">
              <w:rPr>
                <w:color w:val="000000"/>
                <w:kern w:val="2"/>
                <w:sz w:val="18"/>
                <w:szCs w:val="18"/>
                <w:lang w:val="sr-Latn-BA"/>
              </w:rPr>
              <w:t>69/135(4)</w:t>
            </w:r>
            <w:r w:rsidRPr="0056378B">
              <w:rPr>
                <w:color w:val="000000"/>
                <w:kern w:val="2"/>
                <w:sz w:val="18"/>
                <w:szCs w:val="18"/>
                <w:lang w:val="en-US"/>
              </w:rPr>
              <w:t xml:space="preserve">, 306–324. </w:t>
            </w:r>
            <w:bookmarkEnd w:id="1"/>
            <w:r w:rsidRPr="00C4301A">
              <w:rPr>
                <w:color w:val="000000"/>
                <w:kern w:val="2"/>
                <w:sz w:val="18"/>
                <w:szCs w:val="18"/>
                <w:lang w:val="en-US"/>
              </w:rPr>
              <w:fldChar w:fldCharType="begin"/>
            </w:r>
            <w:r w:rsidRPr="00C4301A">
              <w:rPr>
                <w:color w:val="000000"/>
                <w:kern w:val="2"/>
                <w:sz w:val="18"/>
                <w:szCs w:val="18"/>
                <w:lang w:val="en-US"/>
              </w:rPr>
              <w:instrText xml:space="preserve"> HYPERLINK "https://www.sodobna-pedagogika.net/en/archive/load-article/?id=1463" </w:instrText>
            </w:r>
            <w:r w:rsidRPr="00C4301A">
              <w:rPr>
                <w:color w:val="000000"/>
                <w:kern w:val="2"/>
                <w:sz w:val="18"/>
                <w:szCs w:val="18"/>
                <w:lang w:val="en-US"/>
              </w:rPr>
              <w:fldChar w:fldCharType="separate"/>
            </w:r>
            <w:r w:rsidRPr="00C4301A">
              <w:rPr>
                <w:color w:val="0000FF"/>
                <w:kern w:val="2"/>
                <w:sz w:val="18"/>
                <w:szCs w:val="18"/>
                <w:u w:val="single"/>
                <w:lang w:val="en-US"/>
              </w:rPr>
              <w:t>https://www.sodobna-pedagogika.net/en/archive/load-article/?id=1463</w:t>
            </w:r>
            <w:r w:rsidRPr="00C4301A">
              <w:rPr>
                <w:color w:val="000000"/>
                <w:kern w:val="2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061" w:type="dxa"/>
            <w:gridSpan w:val="2"/>
            <w:vAlign w:val="center"/>
          </w:tcPr>
          <w:p w14:paraId="16112781" w14:textId="77777777" w:rsidR="00EA0590" w:rsidRPr="00C4301A" w:rsidRDefault="00830DB7" w:rsidP="0087531D">
            <w:pPr>
              <w:jc w:val="center"/>
              <w:rPr>
                <w:sz w:val="18"/>
                <w:szCs w:val="18"/>
                <w:lang w:val="sr-Latn-RS"/>
              </w:rPr>
            </w:pPr>
            <w:r w:rsidRPr="00C4301A">
              <w:rPr>
                <w:sz w:val="18"/>
                <w:szCs w:val="18"/>
                <w:lang w:val="ru-RU"/>
              </w:rPr>
              <w:t>М</w:t>
            </w:r>
            <w:r w:rsidR="0056378B" w:rsidRPr="00C4301A">
              <w:rPr>
                <w:sz w:val="18"/>
                <w:szCs w:val="18"/>
                <w:lang w:val="sr-Latn-RS"/>
              </w:rPr>
              <w:t>23</w:t>
            </w:r>
          </w:p>
        </w:tc>
      </w:tr>
      <w:tr w:rsidR="00EA0590" w:rsidRPr="00C4301A" w14:paraId="22E01E0D" w14:textId="77777777" w:rsidTr="0087531D">
        <w:trPr>
          <w:trHeight w:val="37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4F62C8EE" w14:textId="77777777" w:rsidR="00EA0590" w:rsidRPr="00C4301A" w:rsidRDefault="00EA0590" w:rsidP="008E1439">
            <w:pPr>
              <w:jc w:val="center"/>
              <w:rPr>
                <w:sz w:val="18"/>
                <w:szCs w:val="18"/>
                <w:lang w:val="sr-Latn-RS"/>
              </w:rPr>
            </w:pPr>
            <w:bookmarkStart w:id="2" w:name="_Hlk83043731"/>
            <w:r w:rsidRPr="00C4301A">
              <w:rPr>
                <w:sz w:val="18"/>
                <w:szCs w:val="18"/>
                <w:lang w:val="ru-RU"/>
              </w:rPr>
              <w:t>4</w:t>
            </w:r>
            <w:r w:rsidR="0056378B" w:rsidRPr="00C4301A">
              <w:rPr>
                <w:sz w:val="18"/>
                <w:szCs w:val="18"/>
                <w:lang w:val="sr-Latn-RS"/>
              </w:rPr>
              <w:t>.</w:t>
            </w:r>
          </w:p>
        </w:tc>
        <w:tc>
          <w:tcPr>
            <w:tcW w:w="9178" w:type="dxa"/>
            <w:gridSpan w:val="7"/>
            <w:vAlign w:val="center"/>
          </w:tcPr>
          <w:p w14:paraId="1BC329C1" w14:textId="77777777" w:rsidR="00EA0590" w:rsidRPr="00C4301A" w:rsidRDefault="00C4301A" w:rsidP="00C4301A">
            <w:pPr>
              <w:autoSpaceDE w:val="0"/>
              <w:autoSpaceDN w:val="0"/>
              <w:adjustRightInd w:val="0"/>
              <w:rPr>
                <w:sz w:val="18"/>
                <w:szCs w:val="18"/>
                <w:lang w:val="en-GB"/>
              </w:rPr>
            </w:pPr>
            <w:r w:rsidRPr="00C4301A">
              <w:rPr>
                <w:sz w:val="18"/>
                <w:szCs w:val="18"/>
                <w:lang w:val="en-US"/>
              </w:rPr>
              <w:t>Ban</w:t>
            </w:r>
            <w:r w:rsidRPr="00C4301A">
              <w:rPr>
                <w:sz w:val="18"/>
                <w:szCs w:val="18"/>
                <w:lang w:val="hr-HR"/>
              </w:rPr>
              <w:t>đ</w:t>
            </w:r>
            <w:proofErr w:type="spellStart"/>
            <w:r w:rsidRPr="00C4301A">
              <w:rPr>
                <w:sz w:val="18"/>
                <w:szCs w:val="18"/>
                <w:lang w:val="en-US"/>
              </w:rPr>
              <w:t>ur</w:t>
            </w:r>
            <w:proofErr w:type="spellEnd"/>
            <w:r w:rsidRPr="00C4301A">
              <w:rPr>
                <w:sz w:val="18"/>
                <w:szCs w:val="18"/>
                <w:lang w:val="hr-HR"/>
              </w:rPr>
              <w:t xml:space="preserve"> </w:t>
            </w:r>
            <w:r w:rsidRPr="00C4301A">
              <w:rPr>
                <w:sz w:val="18"/>
                <w:szCs w:val="18"/>
                <w:lang w:val="sr-Latn-RS"/>
              </w:rPr>
              <w:t xml:space="preserve">V. </w:t>
            </w:r>
            <w:r w:rsidRPr="00C4301A">
              <w:rPr>
                <w:sz w:val="18"/>
                <w:szCs w:val="18"/>
                <w:lang w:val="hr-HR"/>
              </w:rPr>
              <w:t xml:space="preserve">&amp; </w:t>
            </w:r>
            <w:proofErr w:type="spellStart"/>
            <w:r w:rsidRPr="00C4301A">
              <w:rPr>
                <w:b/>
                <w:sz w:val="18"/>
                <w:szCs w:val="18"/>
                <w:lang w:val="en-US"/>
              </w:rPr>
              <w:t>Maksimovi</w:t>
            </w:r>
            <w:proofErr w:type="spellEnd"/>
            <w:r w:rsidRPr="00C4301A">
              <w:rPr>
                <w:b/>
                <w:sz w:val="18"/>
                <w:szCs w:val="18"/>
                <w:lang w:val="hr-HR"/>
              </w:rPr>
              <w:t>ć, J.</w:t>
            </w:r>
            <w:r w:rsidRPr="00C4301A">
              <w:rPr>
                <w:sz w:val="18"/>
                <w:szCs w:val="18"/>
                <w:lang w:val="hr-HR"/>
              </w:rPr>
              <w:t xml:space="preserve"> (2013). </w:t>
            </w:r>
            <w:r w:rsidRPr="00C4301A">
              <w:rPr>
                <w:sz w:val="18"/>
                <w:szCs w:val="18"/>
                <w:lang w:val="en-GB"/>
              </w:rPr>
              <w:t xml:space="preserve">The Teacher – A Reflective Researcher of the Teaching Practice. </w:t>
            </w:r>
            <w:r w:rsidRPr="00C4301A">
              <w:rPr>
                <w:i/>
                <w:sz w:val="18"/>
                <w:szCs w:val="18"/>
                <w:lang w:val="en-GB" w:eastAsia="hr-HR"/>
              </w:rPr>
              <w:t>Croatian Journal of Education</w:t>
            </w:r>
            <w:r w:rsidRPr="00C4301A">
              <w:rPr>
                <w:sz w:val="18"/>
                <w:szCs w:val="18"/>
                <w:lang w:val="en-GB" w:eastAsia="hr-HR"/>
              </w:rPr>
              <w:t xml:space="preserve">, </w:t>
            </w:r>
            <w:r w:rsidRPr="00C4301A">
              <w:rPr>
                <w:sz w:val="18"/>
                <w:szCs w:val="18"/>
                <w:lang w:val="en-GB"/>
              </w:rPr>
              <w:t>15(3), 99-124.</w:t>
            </w:r>
            <w:hyperlink r:id="rId8" w:history="1">
              <w:r w:rsidRPr="00C4301A">
                <w:rPr>
                  <w:rStyle w:val="Hyperlink"/>
                  <w:sz w:val="18"/>
                  <w:szCs w:val="18"/>
                  <w:lang w:val="en-US"/>
                </w:rPr>
                <w:t>https://doi.org/https://doi.org/10.15516/cje.v15i0.270</w:t>
              </w:r>
            </w:hyperlink>
          </w:p>
        </w:tc>
        <w:tc>
          <w:tcPr>
            <w:tcW w:w="1061" w:type="dxa"/>
            <w:gridSpan w:val="2"/>
            <w:vAlign w:val="center"/>
          </w:tcPr>
          <w:p w14:paraId="29259C0B" w14:textId="77777777" w:rsidR="00EA0590" w:rsidRPr="00C4301A" w:rsidRDefault="00830DB7" w:rsidP="0087531D">
            <w:pPr>
              <w:jc w:val="center"/>
              <w:rPr>
                <w:sz w:val="18"/>
                <w:szCs w:val="18"/>
                <w:lang w:val="sr-Latn-RS"/>
              </w:rPr>
            </w:pPr>
            <w:r w:rsidRPr="00C4301A">
              <w:rPr>
                <w:sz w:val="18"/>
                <w:szCs w:val="18"/>
                <w:lang w:val="ru-RU"/>
              </w:rPr>
              <w:t>М</w:t>
            </w:r>
            <w:r w:rsidR="0056378B" w:rsidRPr="00C4301A">
              <w:rPr>
                <w:sz w:val="18"/>
                <w:szCs w:val="18"/>
                <w:lang w:val="sr-Latn-RS"/>
              </w:rPr>
              <w:t>23</w:t>
            </w:r>
          </w:p>
        </w:tc>
      </w:tr>
      <w:tr w:rsidR="00EA0590" w:rsidRPr="00C4301A" w14:paraId="7D206683" w14:textId="77777777" w:rsidTr="0087531D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0AED9A37" w14:textId="77777777" w:rsidR="00EA0590" w:rsidRPr="00C4301A" w:rsidRDefault="00EA0590" w:rsidP="008E1439">
            <w:pPr>
              <w:jc w:val="center"/>
              <w:rPr>
                <w:sz w:val="18"/>
                <w:szCs w:val="18"/>
                <w:lang w:val="sr-Latn-RS"/>
              </w:rPr>
            </w:pPr>
            <w:r w:rsidRPr="00C4301A">
              <w:rPr>
                <w:sz w:val="18"/>
                <w:szCs w:val="18"/>
                <w:lang w:val="ru-RU"/>
              </w:rPr>
              <w:t>5</w:t>
            </w:r>
            <w:r w:rsidR="0056378B" w:rsidRPr="00C4301A">
              <w:rPr>
                <w:sz w:val="18"/>
                <w:szCs w:val="18"/>
                <w:lang w:val="sr-Latn-RS"/>
              </w:rPr>
              <w:t>.</w:t>
            </w:r>
          </w:p>
        </w:tc>
        <w:tc>
          <w:tcPr>
            <w:tcW w:w="9178" w:type="dxa"/>
            <w:gridSpan w:val="7"/>
            <w:vAlign w:val="center"/>
          </w:tcPr>
          <w:p w14:paraId="5841DA04" w14:textId="77777777" w:rsidR="00EA0590" w:rsidRPr="00C4301A" w:rsidRDefault="0056378B" w:rsidP="0056378B">
            <w:pPr>
              <w:shd w:val="clear" w:color="auto" w:fill="FFFFFF"/>
              <w:rPr>
                <w:color w:val="000000"/>
                <w:sz w:val="18"/>
                <w:szCs w:val="18"/>
                <w:lang w:val="sr-Cyrl-RS"/>
              </w:rPr>
            </w:pPr>
            <w:bookmarkStart w:id="3" w:name="_Hlk533419250"/>
            <w:r w:rsidRPr="0056378B">
              <w:rPr>
                <w:b/>
                <w:color w:val="000000"/>
                <w:sz w:val="18"/>
                <w:szCs w:val="18"/>
                <w:lang w:val="sr-Latn-RS"/>
              </w:rPr>
              <w:t>Maksimović, J.</w:t>
            </w:r>
            <w:r w:rsidRPr="0056378B">
              <w:rPr>
                <w:color w:val="000000"/>
                <w:sz w:val="18"/>
                <w:szCs w:val="18"/>
                <w:lang w:val="sr-Latn-RS"/>
              </w:rPr>
              <w:t xml:space="preserve"> &amp; Osmanović. J. (2018). </w:t>
            </w:r>
            <w:bookmarkEnd w:id="3"/>
            <w:r w:rsidRPr="0056378B">
              <w:rPr>
                <w:color w:val="000000"/>
                <w:sz w:val="18"/>
                <w:szCs w:val="18"/>
                <w:lang w:val="sr-Latn-RS"/>
              </w:rPr>
              <w:t>The role and effectiveness of methodological  education for reflective practices</w:t>
            </w:r>
            <w:r w:rsidRPr="0056378B">
              <w:rPr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(</w:t>
            </w:r>
            <w:r w:rsidRPr="0056378B">
              <w:rPr>
                <w:color w:val="000000"/>
                <w:sz w:val="18"/>
                <w:szCs w:val="18"/>
                <w:lang w:val="sr-Latn-RS"/>
              </w:rPr>
              <w:t xml:space="preserve">Vloga in učinkovitost metodološkega izobraževanja za reflektivne prakse). </w:t>
            </w:r>
            <w:proofErr w:type="spellStart"/>
            <w:r w:rsidRPr="0056378B">
              <w:rPr>
                <w:i/>
                <w:color w:val="000000"/>
                <w:sz w:val="18"/>
                <w:szCs w:val="18"/>
                <w:lang w:val="en-US"/>
              </w:rPr>
              <w:t>Didactica</w:t>
            </w:r>
            <w:proofErr w:type="spellEnd"/>
            <w:r w:rsidRPr="0056378B">
              <w:rPr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378B">
              <w:rPr>
                <w:i/>
                <w:color w:val="000000"/>
                <w:sz w:val="18"/>
                <w:szCs w:val="18"/>
                <w:lang w:val="en-US"/>
              </w:rPr>
              <w:t>Slovenica</w:t>
            </w:r>
            <w:proofErr w:type="spellEnd"/>
            <w:r w:rsidRPr="0056378B">
              <w:rPr>
                <w:i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56378B">
              <w:rPr>
                <w:i/>
                <w:color w:val="000000"/>
                <w:sz w:val="18"/>
                <w:szCs w:val="18"/>
                <w:lang w:val="en-US"/>
              </w:rPr>
              <w:t>Pedagoška</w:t>
            </w:r>
            <w:proofErr w:type="spellEnd"/>
            <w:r w:rsidRPr="0056378B">
              <w:rPr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378B">
              <w:rPr>
                <w:i/>
                <w:color w:val="000000"/>
                <w:sz w:val="18"/>
                <w:szCs w:val="18"/>
                <w:lang w:val="en-US"/>
              </w:rPr>
              <w:t>obzorja</w:t>
            </w:r>
            <w:proofErr w:type="spellEnd"/>
            <w:r w:rsidRPr="0056378B">
              <w:rPr>
                <w:color w:val="000000"/>
                <w:sz w:val="18"/>
                <w:szCs w:val="18"/>
                <w:lang w:val="en-US"/>
              </w:rPr>
              <w:t>, 33(1), 131-148</w:t>
            </w:r>
            <w:r w:rsidRPr="0056378B">
              <w:rPr>
                <w:color w:val="000000"/>
                <w:sz w:val="18"/>
                <w:szCs w:val="18"/>
                <w:lang w:val="sr-Cyrl-RS"/>
              </w:rPr>
              <w:t xml:space="preserve">. </w:t>
            </w:r>
          </w:p>
        </w:tc>
        <w:tc>
          <w:tcPr>
            <w:tcW w:w="1061" w:type="dxa"/>
            <w:gridSpan w:val="2"/>
            <w:vAlign w:val="center"/>
          </w:tcPr>
          <w:p w14:paraId="7155A178" w14:textId="77777777" w:rsidR="00EA0590" w:rsidRPr="00C4301A" w:rsidRDefault="00830DB7" w:rsidP="0087531D">
            <w:pPr>
              <w:jc w:val="center"/>
              <w:rPr>
                <w:sz w:val="18"/>
                <w:szCs w:val="18"/>
                <w:lang w:val="sr-Latn-RS"/>
              </w:rPr>
            </w:pPr>
            <w:r w:rsidRPr="00C4301A">
              <w:rPr>
                <w:sz w:val="18"/>
                <w:szCs w:val="18"/>
                <w:lang w:val="ru-RU"/>
              </w:rPr>
              <w:t>М</w:t>
            </w:r>
            <w:r w:rsidR="0056378B" w:rsidRPr="00C4301A">
              <w:rPr>
                <w:sz w:val="18"/>
                <w:szCs w:val="18"/>
                <w:lang w:val="sr-Latn-RS"/>
              </w:rPr>
              <w:t>23</w:t>
            </w:r>
          </w:p>
        </w:tc>
      </w:tr>
      <w:tr w:rsidR="009716CE" w:rsidRPr="00C4301A" w14:paraId="7C3EFC43" w14:textId="77777777" w:rsidTr="0087531D">
        <w:trPr>
          <w:trHeight w:val="340"/>
          <w:jc w:val="center"/>
        </w:trPr>
        <w:tc>
          <w:tcPr>
            <w:tcW w:w="5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5F099B69" w14:textId="77777777" w:rsidR="009716CE" w:rsidRPr="00C4301A" w:rsidRDefault="0056378B" w:rsidP="00F6210E">
            <w:pPr>
              <w:jc w:val="center"/>
              <w:rPr>
                <w:sz w:val="18"/>
                <w:szCs w:val="18"/>
                <w:lang w:val="sr-Latn-RS"/>
              </w:rPr>
            </w:pPr>
            <w:r w:rsidRPr="00C4301A">
              <w:rPr>
                <w:sz w:val="18"/>
                <w:szCs w:val="18"/>
                <w:lang w:val="sr-Latn-RS"/>
              </w:rPr>
              <w:t>6.</w:t>
            </w:r>
          </w:p>
        </w:tc>
        <w:tc>
          <w:tcPr>
            <w:tcW w:w="9178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E9BF3AC" w14:textId="77777777" w:rsidR="00264A11" w:rsidRDefault="00264A11" w:rsidP="00264A11">
            <w:pPr>
              <w:rPr>
                <w:color w:val="000000"/>
                <w:sz w:val="18"/>
                <w:szCs w:val="18"/>
                <w:lang w:val="sr-Latn-RS" w:eastAsia="hr-HR"/>
              </w:rPr>
            </w:pPr>
            <w:r w:rsidRPr="00264A11">
              <w:rPr>
                <w:b/>
                <w:color w:val="000000"/>
                <w:sz w:val="18"/>
                <w:szCs w:val="18"/>
                <w:lang w:val="sr-Latn-RS" w:eastAsia="hr-HR"/>
              </w:rPr>
              <w:t>Maksimović, J.</w:t>
            </w:r>
            <w:r w:rsidRPr="00264A11">
              <w:rPr>
                <w:color w:val="000000"/>
                <w:sz w:val="18"/>
                <w:szCs w:val="18"/>
                <w:lang w:val="sr-Latn-RS" w:eastAsia="hr-HR"/>
              </w:rPr>
              <w:t xml:space="preserve"> &amp; Osmanović. J. (2018). Physical education teachers as reflective practioners and action researchers in their work. </w:t>
            </w:r>
            <w:r w:rsidRPr="00264A11">
              <w:rPr>
                <w:i/>
                <w:color w:val="000000"/>
                <w:sz w:val="18"/>
                <w:szCs w:val="18"/>
                <w:lang w:val="sr-Latn-RS" w:eastAsia="hr-HR"/>
              </w:rPr>
              <w:t>Facta Universitatis Series: Physical Education and Sport</w:t>
            </w:r>
            <w:r w:rsidRPr="00264A11">
              <w:rPr>
                <w:color w:val="000000"/>
                <w:sz w:val="18"/>
                <w:szCs w:val="18"/>
                <w:lang w:val="sr-Latn-RS" w:eastAsia="hr-HR"/>
              </w:rPr>
              <w:t xml:space="preserve">, 16(2), 375-386. </w:t>
            </w:r>
          </w:p>
          <w:p w14:paraId="0FDFCFE0" w14:textId="77777777" w:rsidR="009716CE" w:rsidRPr="00264A11" w:rsidRDefault="00451BEA" w:rsidP="0056378B">
            <w:pPr>
              <w:rPr>
                <w:color w:val="000000"/>
                <w:sz w:val="18"/>
                <w:szCs w:val="18"/>
                <w:lang w:val="sr-Latn-RS" w:eastAsia="hr-HR"/>
              </w:rPr>
            </w:pPr>
            <w:hyperlink r:id="rId9" w:history="1">
              <w:r w:rsidR="00264A11" w:rsidRPr="00264A11">
                <w:rPr>
                  <w:color w:val="0000FF"/>
                  <w:sz w:val="18"/>
                  <w:szCs w:val="18"/>
                  <w:u w:val="single"/>
                  <w:lang w:val="hr-HR" w:eastAsia="hr-HR"/>
                </w:rPr>
                <w:t>https://doi.org/10.22190/FUPES180720034M</w:t>
              </w:r>
            </w:hyperlink>
          </w:p>
        </w:tc>
        <w:tc>
          <w:tcPr>
            <w:tcW w:w="106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836754E" w14:textId="77777777" w:rsidR="009716CE" w:rsidRPr="00C4301A" w:rsidRDefault="009716CE" w:rsidP="0087531D">
            <w:pPr>
              <w:jc w:val="center"/>
              <w:rPr>
                <w:sz w:val="18"/>
                <w:szCs w:val="18"/>
                <w:lang w:val="sr-Latn-RS"/>
              </w:rPr>
            </w:pPr>
            <w:r w:rsidRPr="00C4301A">
              <w:rPr>
                <w:sz w:val="18"/>
                <w:szCs w:val="18"/>
                <w:lang w:val="ru-RU"/>
              </w:rPr>
              <w:t>М</w:t>
            </w:r>
            <w:r w:rsidR="00264A11">
              <w:rPr>
                <w:sz w:val="18"/>
                <w:szCs w:val="18"/>
                <w:lang w:val="sr-Latn-RS"/>
              </w:rPr>
              <w:t>24</w:t>
            </w:r>
          </w:p>
        </w:tc>
      </w:tr>
      <w:tr w:rsidR="00264A11" w:rsidRPr="00264A11" w14:paraId="71586739" w14:textId="77777777" w:rsidTr="0087531D">
        <w:trPr>
          <w:trHeight w:val="340"/>
          <w:jc w:val="center"/>
        </w:trPr>
        <w:tc>
          <w:tcPr>
            <w:tcW w:w="5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76088C2" w14:textId="77777777" w:rsidR="00264A11" w:rsidRPr="00C4301A" w:rsidRDefault="00264A11" w:rsidP="00F6210E">
            <w:pPr>
              <w:jc w:val="center"/>
              <w:rPr>
                <w:sz w:val="18"/>
                <w:szCs w:val="18"/>
                <w:lang w:val="sr-Latn-RS"/>
              </w:rPr>
            </w:pPr>
            <w:r>
              <w:rPr>
                <w:sz w:val="18"/>
                <w:szCs w:val="18"/>
                <w:lang w:val="sr-Latn-RS"/>
              </w:rPr>
              <w:t>7</w:t>
            </w:r>
            <w:r w:rsidRPr="00C4301A">
              <w:rPr>
                <w:sz w:val="18"/>
                <w:szCs w:val="18"/>
                <w:lang w:val="sr-Latn-RS"/>
              </w:rPr>
              <w:t>.</w:t>
            </w:r>
          </w:p>
        </w:tc>
        <w:tc>
          <w:tcPr>
            <w:tcW w:w="9178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D6B3C09" w14:textId="77777777" w:rsidR="00264A11" w:rsidRPr="00C4301A" w:rsidRDefault="00264A11" w:rsidP="00264A11">
            <w:pPr>
              <w:rPr>
                <w:color w:val="000000"/>
                <w:sz w:val="18"/>
                <w:szCs w:val="18"/>
                <w:lang w:val="sr-Latn-BA"/>
              </w:rPr>
            </w:pPr>
            <w:proofErr w:type="spellStart"/>
            <w:r w:rsidRPr="0056378B">
              <w:rPr>
                <w:b/>
                <w:color w:val="000000"/>
                <w:sz w:val="18"/>
                <w:szCs w:val="18"/>
                <w:lang w:val="en-US"/>
              </w:rPr>
              <w:t>Maksimović</w:t>
            </w:r>
            <w:proofErr w:type="spellEnd"/>
            <w:r w:rsidRPr="0056378B">
              <w:rPr>
                <w:b/>
                <w:color w:val="000000"/>
                <w:sz w:val="18"/>
                <w:szCs w:val="18"/>
                <w:lang w:val="en-US"/>
              </w:rPr>
              <w:t xml:space="preserve">. J. </w:t>
            </w:r>
            <w:r w:rsidRPr="0056378B">
              <w:rPr>
                <w:color w:val="000000"/>
                <w:sz w:val="18"/>
                <w:szCs w:val="18"/>
                <w:lang w:val="en-US"/>
              </w:rPr>
              <w:t xml:space="preserve">&amp; </w:t>
            </w:r>
            <w:proofErr w:type="spellStart"/>
            <w:r w:rsidRPr="0056378B">
              <w:rPr>
                <w:color w:val="000000"/>
                <w:sz w:val="18"/>
                <w:szCs w:val="18"/>
                <w:lang w:val="en-US"/>
              </w:rPr>
              <w:t>Osmanović</w:t>
            </w:r>
            <w:proofErr w:type="spellEnd"/>
            <w:r w:rsidRPr="0056378B">
              <w:rPr>
                <w:color w:val="000000"/>
                <w:sz w:val="18"/>
                <w:szCs w:val="18"/>
                <w:lang w:val="en-US"/>
              </w:rPr>
              <w:t>, J. (2019). Perspective of cognitive thinking and reflective teaching practice.  </w:t>
            </w:r>
            <w:r w:rsidRPr="0056378B">
              <w:rPr>
                <w:i/>
                <w:iCs/>
                <w:color w:val="000000"/>
                <w:sz w:val="18"/>
                <w:szCs w:val="18"/>
                <w:lang w:val="en-US"/>
              </w:rPr>
              <w:t>International Journal of Cognitive Research in Science, Engineering and Education</w:t>
            </w:r>
            <w:r w:rsidRPr="0056378B">
              <w:rPr>
                <w:color w:val="000000"/>
                <w:sz w:val="18"/>
                <w:szCs w:val="18"/>
                <w:lang w:val="en-US"/>
              </w:rPr>
              <w:t>, 7(2), 1-10.</w:t>
            </w:r>
          </w:p>
          <w:p w14:paraId="45EB2300" w14:textId="77777777" w:rsidR="00264A11" w:rsidRPr="00264A11" w:rsidRDefault="00451BEA" w:rsidP="00264A11">
            <w:pPr>
              <w:rPr>
                <w:b/>
                <w:color w:val="000000"/>
                <w:sz w:val="18"/>
                <w:szCs w:val="18"/>
                <w:lang w:val="sr-Latn-RS" w:eastAsia="hr-HR"/>
              </w:rPr>
            </w:pPr>
            <w:hyperlink r:id="rId10" w:history="1">
              <w:r w:rsidR="00264A11" w:rsidRPr="00C4301A">
                <w:rPr>
                  <w:rStyle w:val="Hyperlink"/>
                  <w:sz w:val="18"/>
                  <w:szCs w:val="18"/>
                  <w:lang w:val="en-US"/>
                </w:rPr>
                <w:t>https://doi.org/10.5937/IJCRSEE1902001M</w:t>
              </w:r>
            </w:hyperlink>
          </w:p>
        </w:tc>
        <w:tc>
          <w:tcPr>
            <w:tcW w:w="106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8AA890B" w14:textId="77777777" w:rsidR="00264A11" w:rsidRPr="00264A11" w:rsidRDefault="00264A11" w:rsidP="0087531D">
            <w:pPr>
              <w:jc w:val="center"/>
              <w:rPr>
                <w:sz w:val="18"/>
                <w:szCs w:val="18"/>
                <w:lang w:val="sr-Latn-RS"/>
              </w:rPr>
            </w:pPr>
            <w:r w:rsidRPr="00C4301A">
              <w:rPr>
                <w:sz w:val="18"/>
                <w:szCs w:val="18"/>
                <w:lang w:val="ru-RU"/>
              </w:rPr>
              <w:t>М</w:t>
            </w:r>
            <w:r w:rsidRPr="00264A11">
              <w:rPr>
                <w:sz w:val="18"/>
                <w:szCs w:val="18"/>
                <w:lang w:val="ru-RU"/>
              </w:rPr>
              <w:t>5</w:t>
            </w:r>
            <w:r>
              <w:rPr>
                <w:sz w:val="18"/>
                <w:szCs w:val="18"/>
                <w:lang w:val="sr-Latn-RS"/>
              </w:rPr>
              <w:t>1</w:t>
            </w:r>
          </w:p>
        </w:tc>
      </w:tr>
      <w:tr w:rsidR="009716CE" w:rsidRPr="00C4301A" w14:paraId="137F2BAC" w14:textId="77777777" w:rsidTr="0087531D">
        <w:trPr>
          <w:trHeight w:val="340"/>
          <w:jc w:val="center"/>
        </w:trPr>
        <w:tc>
          <w:tcPr>
            <w:tcW w:w="5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77CFC0D" w14:textId="77777777" w:rsidR="009716CE" w:rsidRPr="00C4301A" w:rsidRDefault="00264A11" w:rsidP="00F6210E">
            <w:pPr>
              <w:jc w:val="center"/>
              <w:rPr>
                <w:sz w:val="18"/>
                <w:szCs w:val="18"/>
                <w:lang w:val="sr-Latn-RS"/>
              </w:rPr>
            </w:pPr>
            <w:r>
              <w:rPr>
                <w:sz w:val="18"/>
                <w:szCs w:val="18"/>
                <w:lang w:val="sr-Latn-RS"/>
              </w:rPr>
              <w:t>8</w:t>
            </w:r>
            <w:r w:rsidR="0056378B" w:rsidRPr="00C4301A">
              <w:rPr>
                <w:sz w:val="18"/>
                <w:szCs w:val="18"/>
                <w:lang w:val="sr-Latn-RS"/>
              </w:rPr>
              <w:t>.</w:t>
            </w:r>
          </w:p>
        </w:tc>
        <w:tc>
          <w:tcPr>
            <w:tcW w:w="9178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0DE72C9" w14:textId="77777777" w:rsidR="009716CE" w:rsidRPr="00C4301A" w:rsidRDefault="0056378B" w:rsidP="0056378B">
            <w:pPr>
              <w:shd w:val="clear" w:color="auto" w:fill="FFFFFF"/>
              <w:rPr>
                <w:color w:val="000000"/>
                <w:sz w:val="18"/>
                <w:szCs w:val="18"/>
                <w:shd w:val="clear" w:color="auto" w:fill="FFFFFF"/>
                <w:lang w:val="hr-HR" w:eastAsia="hr-HR"/>
              </w:rPr>
            </w:pPr>
            <w:r w:rsidRPr="0056378B">
              <w:rPr>
                <w:color w:val="000000"/>
                <w:sz w:val="18"/>
                <w:szCs w:val="18"/>
                <w:shd w:val="clear" w:color="auto" w:fill="FFFFFF"/>
                <w:lang w:val="hr-HR" w:eastAsia="hr-HR"/>
              </w:rPr>
              <w:t xml:space="preserve">Stanković, Z., </w:t>
            </w:r>
            <w:r w:rsidRPr="0056378B">
              <w:rPr>
                <w:b/>
                <w:color w:val="000000"/>
                <w:sz w:val="18"/>
                <w:szCs w:val="18"/>
                <w:shd w:val="clear" w:color="auto" w:fill="FFFFFF"/>
                <w:lang w:val="hr-HR" w:eastAsia="hr-HR"/>
              </w:rPr>
              <w:t>Maksimović, J.</w:t>
            </w:r>
            <w:r w:rsidRPr="0056378B">
              <w:rPr>
                <w:color w:val="000000"/>
                <w:sz w:val="18"/>
                <w:szCs w:val="18"/>
                <w:shd w:val="clear" w:color="auto" w:fill="FFFFFF"/>
                <w:lang w:val="hr-HR" w:eastAsia="hr-HR"/>
              </w:rPr>
              <w:t xml:space="preserve"> &amp; Osmanović, J. (2018). Cognitive theories and paradigmatic research posts in the function of multimedia teaching and learning. </w:t>
            </w:r>
            <w:r w:rsidRPr="0056378B">
              <w:rPr>
                <w:i/>
                <w:iCs/>
                <w:color w:val="000000"/>
                <w:sz w:val="18"/>
                <w:szCs w:val="18"/>
                <w:shd w:val="clear" w:color="auto" w:fill="FFFFFF"/>
                <w:lang w:val="hr-HR" w:eastAsia="hr-HR"/>
              </w:rPr>
              <w:t>International Journal of Cognitive Research in Science, Engineering and Education / IJCRSEE</w:t>
            </w:r>
            <w:r w:rsidRPr="0056378B">
              <w:rPr>
                <w:color w:val="000000"/>
                <w:sz w:val="18"/>
                <w:szCs w:val="18"/>
                <w:shd w:val="clear" w:color="auto" w:fill="FFFFFF"/>
                <w:lang w:val="hr-HR" w:eastAsia="hr-HR"/>
              </w:rPr>
              <w:t xml:space="preserve">, 6(2), 107-114. </w:t>
            </w:r>
            <w:r w:rsidR="00451BEA">
              <w:fldChar w:fldCharType="begin"/>
            </w:r>
            <w:r w:rsidR="00451BEA">
              <w:instrText xml:space="preserve"> HYPERLINK "https</w:instrText>
            </w:r>
            <w:r w:rsidR="00451BEA">
              <w:instrText xml:space="preserve">://doi.org/10.5937/ijcrsee1802107S" </w:instrText>
            </w:r>
            <w:r w:rsidR="00451BEA">
              <w:fldChar w:fldCharType="separate"/>
            </w:r>
            <w:r w:rsidRPr="00C4301A">
              <w:rPr>
                <w:rStyle w:val="Hyperlink"/>
                <w:sz w:val="18"/>
                <w:szCs w:val="18"/>
                <w:shd w:val="clear" w:color="auto" w:fill="FFFFFF"/>
                <w:lang w:val="en-US"/>
              </w:rPr>
              <w:t>https://doi.org/10.5937/ijcrsee1802107S</w:t>
            </w:r>
            <w:r w:rsidR="00451BEA">
              <w:rPr>
                <w:rStyle w:val="Hyperlink"/>
                <w:sz w:val="18"/>
                <w:szCs w:val="18"/>
                <w:shd w:val="clear" w:color="auto" w:fill="FFFFFF"/>
                <w:lang w:val="en-US"/>
              </w:rPr>
              <w:fldChar w:fldCharType="end"/>
            </w:r>
          </w:p>
        </w:tc>
        <w:tc>
          <w:tcPr>
            <w:tcW w:w="106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0E670B9" w14:textId="77777777" w:rsidR="009716CE" w:rsidRPr="00C4301A" w:rsidRDefault="009716CE" w:rsidP="0087531D">
            <w:pPr>
              <w:jc w:val="center"/>
              <w:rPr>
                <w:sz w:val="18"/>
                <w:szCs w:val="18"/>
                <w:lang w:val="sr-Latn-RS"/>
              </w:rPr>
            </w:pPr>
            <w:r w:rsidRPr="00C4301A">
              <w:rPr>
                <w:sz w:val="18"/>
                <w:szCs w:val="18"/>
                <w:lang w:val="ru-RU"/>
              </w:rPr>
              <w:t>М</w:t>
            </w:r>
            <w:r w:rsidR="0056378B" w:rsidRPr="00C4301A">
              <w:rPr>
                <w:sz w:val="18"/>
                <w:szCs w:val="18"/>
                <w:lang w:val="sr-Latn-RS"/>
              </w:rPr>
              <w:t>51</w:t>
            </w:r>
          </w:p>
        </w:tc>
      </w:tr>
      <w:tr w:rsidR="009716CE" w:rsidRPr="00C4301A" w14:paraId="32AD645F" w14:textId="77777777" w:rsidTr="0087531D">
        <w:trPr>
          <w:trHeight w:val="340"/>
          <w:jc w:val="center"/>
        </w:trPr>
        <w:tc>
          <w:tcPr>
            <w:tcW w:w="5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0BB1D62" w14:textId="77777777" w:rsidR="009716CE" w:rsidRPr="00C4301A" w:rsidRDefault="00264A11" w:rsidP="00F6210E">
            <w:pPr>
              <w:jc w:val="center"/>
              <w:rPr>
                <w:sz w:val="18"/>
                <w:szCs w:val="18"/>
                <w:lang w:val="sr-Latn-RS"/>
              </w:rPr>
            </w:pPr>
            <w:bookmarkStart w:id="4" w:name="_Hlk83045126"/>
            <w:r>
              <w:rPr>
                <w:sz w:val="18"/>
                <w:szCs w:val="18"/>
                <w:lang w:val="sr-Latn-RS"/>
              </w:rPr>
              <w:t>9</w:t>
            </w:r>
            <w:r w:rsidR="0056378B" w:rsidRPr="00C4301A">
              <w:rPr>
                <w:sz w:val="18"/>
                <w:szCs w:val="18"/>
                <w:lang w:val="sr-Latn-RS"/>
              </w:rPr>
              <w:t>.</w:t>
            </w:r>
          </w:p>
        </w:tc>
        <w:tc>
          <w:tcPr>
            <w:tcW w:w="9178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62FF68" w14:textId="77777777" w:rsidR="009716CE" w:rsidRPr="00C4301A" w:rsidRDefault="00C4301A" w:rsidP="0056378B">
            <w:pPr>
              <w:rPr>
                <w:color w:val="000000"/>
                <w:sz w:val="18"/>
                <w:szCs w:val="18"/>
                <w:lang w:val="sr-Latn-BA"/>
              </w:rPr>
            </w:pPr>
            <w:proofErr w:type="spellStart"/>
            <w:r w:rsidRPr="00C4301A">
              <w:rPr>
                <w:b/>
                <w:color w:val="000000"/>
                <w:sz w:val="18"/>
                <w:szCs w:val="18"/>
                <w:lang w:val="en-US"/>
              </w:rPr>
              <w:t>Maksimović</w:t>
            </w:r>
            <w:proofErr w:type="spellEnd"/>
            <w:r w:rsidRPr="00C4301A">
              <w:rPr>
                <w:b/>
                <w:color w:val="000000"/>
                <w:sz w:val="18"/>
                <w:szCs w:val="18"/>
                <w:lang w:val="en-US"/>
              </w:rPr>
              <w:t xml:space="preserve">. J. </w:t>
            </w:r>
            <w:r w:rsidRPr="00C4301A">
              <w:rPr>
                <w:color w:val="000000"/>
                <w:sz w:val="18"/>
                <w:szCs w:val="18"/>
                <w:lang w:val="en-US"/>
              </w:rPr>
              <w:t>&amp;</w:t>
            </w:r>
            <w:r w:rsidRPr="00C4301A">
              <w:rPr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C4301A">
              <w:rPr>
                <w:color w:val="000000"/>
                <w:sz w:val="18"/>
                <w:szCs w:val="18"/>
                <w:lang w:val="sr-Latn-BA"/>
              </w:rPr>
              <w:t>Osmanović, J.</w:t>
            </w:r>
            <w:r w:rsidRPr="00C4301A">
              <w:rPr>
                <w:color w:val="000000"/>
                <w:sz w:val="18"/>
                <w:szCs w:val="18"/>
                <w:lang w:val="en-US"/>
              </w:rPr>
              <w:t xml:space="preserve"> (2018).</w:t>
            </w:r>
            <w:r w:rsidRPr="00C4301A">
              <w:rPr>
                <w:i/>
                <w:color w:val="000000"/>
                <w:sz w:val="18"/>
                <w:szCs w:val="18"/>
                <w:lang w:val="sr-Latn-BA"/>
              </w:rPr>
              <w:t xml:space="preserve"> </w:t>
            </w:r>
            <w:r w:rsidRPr="00C4301A">
              <w:rPr>
                <w:iCs/>
                <w:color w:val="000000"/>
                <w:sz w:val="18"/>
                <w:szCs w:val="18"/>
                <w:lang w:val="sr-Latn-BA"/>
              </w:rPr>
              <w:t>Reflective practice as a changing factor of teaching quality.</w:t>
            </w:r>
            <w:r w:rsidRPr="00C4301A">
              <w:rPr>
                <w:color w:val="000000"/>
                <w:sz w:val="18"/>
                <w:szCs w:val="18"/>
                <w:lang w:val="sr-Latn-BA"/>
              </w:rPr>
              <w:t xml:space="preserve"> </w:t>
            </w:r>
            <w:r w:rsidRPr="00C4301A">
              <w:rPr>
                <w:i/>
                <w:color w:val="000000"/>
                <w:sz w:val="18"/>
                <w:szCs w:val="18"/>
                <w:lang w:val="sr-Latn-BA"/>
              </w:rPr>
              <w:t>Research in Pedagogy</w:t>
            </w:r>
            <w:r w:rsidRPr="00C4301A">
              <w:rPr>
                <w:color w:val="000000"/>
                <w:sz w:val="18"/>
                <w:szCs w:val="18"/>
                <w:lang w:val="sr-Latn-BA"/>
              </w:rPr>
              <w:t xml:space="preserve">, 8(2), 172-189. </w:t>
            </w:r>
            <w:r w:rsidRPr="00C4301A">
              <w:rPr>
                <w:color w:val="0000FF"/>
                <w:sz w:val="18"/>
                <w:szCs w:val="18"/>
                <w:u w:val="single"/>
                <w:lang w:val="en-US"/>
              </w:rPr>
              <w:t>https://doi.org/10.17810/2015.82</w:t>
            </w:r>
          </w:p>
        </w:tc>
        <w:tc>
          <w:tcPr>
            <w:tcW w:w="106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1ED2B92" w14:textId="77777777" w:rsidR="009716CE" w:rsidRPr="00C4301A" w:rsidRDefault="009716CE" w:rsidP="0087531D">
            <w:pPr>
              <w:jc w:val="center"/>
              <w:rPr>
                <w:sz w:val="18"/>
                <w:szCs w:val="18"/>
                <w:lang w:val="sr-Latn-RS"/>
              </w:rPr>
            </w:pPr>
            <w:r w:rsidRPr="00C4301A">
              <w:rPr>
                <w:sz w:val="18"/>
                <w:szCs w:val="18"/>
                <w:lang w:val="ru-RU"/>
              </w:rPr>
              <w:t>М</w:t>
            </w:r>
            <w:r w:rsidR="00C4301A" w:rsidRPr="00C4301A">
              <w:rPr>
                <w:sz w:val="18"/>
                <w:szCs w:val="18"/>
                <w:lang w:val="sr-Latn-RS"/>
              </w:rPr>
              <w:t>52</w:t>
            </w:r>
          </w:p>
        </w:tc>
      </w:tr>
      <w:tr w:rsidR="0056378B" w:rsidRPr="00C4301A" w14:paraId="26E64E41" w14:textId="77777777" w:rsidTr="0087531D">
        <w:trPr>
          <w:trHeight w:val="340"/>
          <w:jc w:val="center"/>
        </w:trPr>
        <w:tc>
          <w:tcPr>
            <w:tcW w:w="5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40F04C61" w14:textId="77777777" w:rsidR="0056378B" w:rsidRPr="00C4301A" w:rsidRDefault="00264A11" w:rsidP="00F6210E">
            <w:pPr>
              <w:jc w:val="center"/>
              <w:rPr>
                <w:sz w:val="18"/>
                <w:szCs w:val="18"/>
                <w:lang w:val="sr-Latn-RS"/>
              </w:rPr>
            </w:pPr>
            <w:r>
              <w:rPr>
                <w:sz w:val="18"/>
                <w:szCs w:val="18"/>
                <w:lang w:val="sr-Latn-RS"/>
              </w:rPr>
              <w:t>10</w:t>
            </w:r>
            <w:r w:rsidR="0056378B" w:rsidRPr="00C4301A">
              <w:rPr>
                <w:sz w:val="18"/>
                <w:szCs w:val="18"/>
                <w:lang w:val="sr-Latn-RS"/>
              </w:rPr>
              <w:t>.</w:t>
            </w:r>
          </w:p>
        </w:tc>
        <w:tc>
          <w:tcPr>
            <w:tcW w:w="9178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DAF0419" w14:textId="77777777" w:rsidR="0056378B" w:rsidRPr="00C4301A" w:rsidRDefault="00C4301A" w:rsidP="00C4301A">
            <w:pPr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C4301A">
              <w:rPr>
                <w:b/>
                <w:color w:val="000000"/>
                <w:sz w:val="18"/>
                <w:szCs w:val="18"/>
                <w:lang w:val="en-US"/>
              </w:rPr>
              <w:t>Maksimović</w:t>
            </w:r>
            <w:proofErr w:type="spellEnd"/>
            <w:r w:rsidRPr="00C4301A">
              <w:rPr>
                <w:b/>
                <w:color w:val="000000"/>
                <w:sz w:val="18"/>
                <w:szCs w:val="18"/>
                <w:lang w:val="en-US"/>
              </w:rPr>
              <w:t xml:space="preserve">, J. </w:t>
            </w:r>
            <w:r w:rsidRPr="00C4301A">
              <w:rPr>
                <w:color w:val="000000"/>
                <w:sz w:val="18"/>
                <w:szCs w:val="18"/>
                <w:lang w:val="en-US"/>
              </w:rPr>
              <w:t xml:space="preserve">&amp; </w:t>
            </w:r>
            <w:r w:rsidRPr="00C4301A">
              <w:rPr>
                <w:color w:val="000000"/>
                <w:sz w:val="18"/>
                <w:szCs w:val="18"/>
                <w:lang w:val="sr-Latn-BA"/>
              </w:rPr>
              <w:t>Dimić, N.</w:t>
            </w:r>
            <w:r w:rsidRPr="00C4301A">
              <w:rPr>
                <w:color w:val="000000"/>
                <w:sz w:val="18"/>
                <w:szCs w:val="18"/>
                <w:lang w:val="en-US"/>
              </w:rPr>
              <w:t xml:space="preserve"> (2016). </w:t>
            </w:r>
            <w:r w:rsidRPr="00C4301A">
              <w:rPr>
                <w:color w:val="000000"/>
                <w:sz w:val="18"/>
                <w:szCs w:val="18"/>
                <w:lang w:val="sr-Latn-BA"/>
              </w:rPr>
              <w:t xml:space="preserve">Digital technology and teachers’ competence for its application in the classroom. </w:t>
            </w:r>
            <w:r w:rsidRPr="00C4301A">
              <w:rPr>
                <w:i/>
                <w:color w:val="000000"/>
                <w:sz w:val="18"/>
                <w:szCs w:val="18"/>
                <w:lang w:val="sr-Latn-BA"/>
              </w:rPr>
              <w:t>Research in Pedagogy</w:t>
            </w:r>
            <w:r w:rsidRPr="00C4301A">
              <w:rPr>
                <w:color w:val="000000"/>
                <w:sz w:val="18"/>
                <w:szCs w:val="18"/>
                <w:lang w:val="sr-Latn-BA"/>
              </w:rPr>
              <w:t xml:space="preserve">, 6(2), 59-71. </w:t>
            </w:r>
            <w:r w:rsidR="00451BEA">
              <w:fldChar w:fldCharType="begin"/>
            </w:r>
            <w:r w:rsidR="00451BEA">
              <w:instrText xml:space="preserve"> HYPERLINK "https://doi.org/10.17810/2015.35 " </w:instrText>
            </w:r>
            <w:r w:rsidR="00451BEA">
              <w:fldChar w:fldCharType="separate"/>
            </w:r>
            <w:r w:rsidRPr="00C4301A">
              <w:rPr>
                <w:rStyle w:val="Hyperlink"/>
                <w:sz w:val="18"/>
                <w:szCs w:val="18"/>
                <w:lang w:val="en-US"/>
              </w:rPr>
              <w:t>https://doi.org/10.17810/2015.35 </w:t>
            </w:r>
            <w:r w:rsidR="00451BEA">
              <w:rPr>
                <w:rStyle w:val="Hyperlink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06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E3D0B46" w14:textId="77777777" w:rsidR="0056378B" w:rsidRPr="00C4301A" w:rsidRDefault="0056378B" w:rsidP="0087531D">
            <w:pPr>
              <w:jc w:val="center"/>
              <w:rPr>
                <w:sz w:val="18"/>
                <w:szCs w:val="18"/>
                <w:lang w:val="sr-Latn-RS"/>
              </w:rPr>
            </w:pPr>
            <w:r w:rsidRPr="00C4301A">
              <w:rPr>
                <w:sz w:val="18"/>
                <w:szCs w:val="18"/>
                <w:lang w:val="ru-RU"/>
              </w:rPr>
              <w:t>М</w:t>
            </w:r>
            <w:r w:rsidR="00C4301A" w:rsidRPr="00C4301A">
              <w:rPr>
                <w:sz w:val="18"/>
                <w:szCs w:val="18"/>
                <w:lang w:val="sr-Latn-RS"/>
              </w:rPr>
              <w:t>52</w:t>
            </w:r>
          </w:p>
        </w:tc>
      </w:tr>
      <w:tr w:rsidR="00264A11" w:rsidRPr="00C4301A" w14:paraId="2D023B4A" w14:textId="77777777" w:rsidTr="0087531D">
        <w:trPr>
          <w:trHeight w:val="340"/>
          <w:jc w:val="center"/>
        </w:trPr>
        <w:tc>
          <w:tcPr>
            <w:tcW w:w="5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C54D493" w14:textId="77777777" w:rsidR="00264A11" w:rsidRPr="00C4301A" w:rsidRDefault="00264A11" w:rsidP="00F6210E">
            <w:pPr>
              <w:jc w:val="center"/>
              <w:rPr>
                <w:sz w:val="18"/>
                <w:szCs w:val="18"/>
                <w:lang w:val="sr-Latn-RS"/>
              </w:rPr>
            </w:pPr>
            <w:r>
              <w:rPr>
                <w:sz w:val="18"/>
                <w:szCs w:val="18"/>
                <w:lang w:val="sr-Latn-RS"/>
              </w:rPr>
              <w:t>11</w:t>
            </w:r>
            <w:r w:rsidRPr="00C4301A">
              <w:rPr>
                <w:sz w:val="18"/>
                <w:szCs w:val="18"/>
                <w:lang w:val="sr-Latn-RS"/>
              </w:rPr>
              <w:t>.</w:t>
            </w:r>
          </w:p>
        </w:tc>
        <w:tc>
          <w:tcPr>
            <w:tcW w:w="9178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D6BF7C1" w14:textId="77777777" w:rsidR="00264A11" w:rsidRPr="00264A11" w:rsidRDefault="00264A11" w:rsidP="00F6210E">
            <w:pPr>
              <w:rPr>
                <w:b/>
                <w:color w:val="000000"/>
                <w:sz w:val="18"/>
                <w:szCs w:val="18"/>
                <w:lang w:val="en-US"/>
              </w:rPr>
            </w:pPr>
            <w:proofErr w:type="spellStart"/>
            <w:r w:rsidRPr="00C4301A">
              <w:rPr>
                <w:b/>
                <w:color w:val="000000"/>
                <w:sz w:val="18"/>
                <w:szCs w:val="18"/>
                <w:lang w:val="en-US"/>
              </w:rPr>
              <w:t>Maksimović</w:t>
            </w:r>
            <w:proofErr w:type="spellEnd"/>
            <w:r w:rsidRPr="00C4301A">
              <w:rPr>
                <w:b/>
                <w:color w:val="000000"/>
                <w:sz w:val="18"/>
                <w:szCs w:val="18"/>
                <w:lang w:val="en-US"/>
              </w:rPr>
              <w:t xml:space="preserve">. J. </w:t>
            </w:r>
            <w:proofErr w:type="spellStart"/>
            <w:r w:rsidRPr="00C4301A">
              <w:rPr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C4301A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4301A">
              <w:rPr>
                <w:color w:val="000000"/>
                <w:sz w:val="18"/>
                <w:szCs w:val="18"/>
                <w:lang w:val="en-US"/>
              </w:rPr>
              <w:t>Osmanović</w:t>
            </w:r>
            <w:proofErr w:type="spellEnd"/>
            <w:r w:rsidRPr="00C4301A">
              <w:rPr>
                <w:color w:val="000000"/>
                <w:sz w:val="18"/>
                <w:szCs w:val="18"/>
                <w:lang w:val="en-US"/>
              </w:rPr>
              <w:t xml:space="preserve">, J. (2017). </w:t>
            </w:r>
            <w:proofErr w:type="spellStart"/>
            <w:r w:rsidRPr="00C4301A">
              <w:rPr>
                <w:color w:val="000000"/>
                <w:sz w:val="18"/>
                <w:szCs w:val="18"/>
                <w:lang w:val="en-US"/>
              </w:rPr>
              <w:t>Digitalne</w:t>
            </w:r>
            <w:proofErr w:type="spellEnd"/>
            <w:r w:rsidRPr="00C4301A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4301A">
              <w:rPr>
                <w:color w:val="000000"/>
                <w:sz w:val="18"/>
                <w:szCs w:val="18"/>
                <w:lang w:val="en-US"/>
              </w:rPr>
              <w:t>kompetencije</w:t>
            </w:r>
            <w:proofErr w:type="spellEnd"/>
            <w:r w:rsidRPr="00C4301A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4301A">
              <w:rPr>
                <w:color w:val="000000"/>
                <w:sz w:val="18"/>
                <w:szCs w:val="18"/>
                <w:lang w:val="en-US"/>
              </w:rPr>
              <w:t>nastavnika</w:t>
            </w:r>
            <w:proofErr w:type="spellEnd"/>
            <w:r w:rsidRPr="00C4301A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4301A">
              <w:rPr>
                <w:color w:val="000000"/>
                <w:sz w:val="18"/>
                <w:szCs w:val="18"/>
                <w:lang w:val="en-US"/>
              </w:rPr>
              <w:t>kao</w:t>
            </w:r>
            <w:proofErr w:type="spellEnd"/>
            <w:r w:rsidRPr="00C4301A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4301A">
              <w:rPr>
                <w:color w:val="000000"/>
                <w:sz w:val="18"/>
                <w:szCs w:val="18"/>
                <w:lang w:val="en-US"/>
              </w:rPr>
              <w:t>uslov</w:t>
            </w:r>
            <w:proofErr w:type="spellEnd"/>
            <w:r w:rsidRPr="00C4301A">
              <w:rPr>
                <w:color w:val="000000"/>
                <w:sz w:val="18"/>
                <w:szCs w:val="18"/>
                <w:lang w:val="en-US"/>
              </w:rPr>
              <w:t xml:space="preserve"> za </w:t>
            </w:r>
            <w:proofErr w:type="spellStart"/>
            <w:r w:rsidRPr="00C4301A">
              <w:rPr>
                <w:color w:val="000000"/>
                <w:sz w:val="18"/>
                <w:szCs w:val="18"/>
                <w:lang w:val="en-US"/>
              </w:rPr>
              <w:t>istraživanje</w:t>
            </w:r>
            <w:proofErr w:type="spellEnd"/>
            <w:r w:rsidRPr="00C4301A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4301A">
              <w:rPr>
                <w:color w:val="000000"/>
                <w:sz w:val="18"/>
                <w:szCs w:val="18"/>
                <w:lang w:val="en-US"/>
              </w:rPr>
              <w:t>vaspitno-obrazovne</w:t>
            </w:r>
            <w:proofErr w:type="spellEnd"/>
            <w:r w:rsidRPr="00C4301A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4301A">
              <w:rPr>
                <w:color w:val="000000"/>
                <w:sz w:val="18"/>
                <w:szCs w:val="18"/>
                <w:lang w:val="en-US"/>
              </w:rPr>
              <w:t>prakse</w:t>
            </w:r>
            <w:proofErr w:type="spellEnd"/>
            <w:r w:rsidRPr="00C4301A">
              <w:rPr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C4301A">
              <w:rPr>
                <w:i/>
                <w:color w:val="000000"/>
                <w:sz w:val="18"/>
                <w:szCs w:val="18"/>
                <w:lang w:val="en-US"/>
              </w:rPr>
              <w:t>Pedagogija</w:t>
            </w:r>
            <w:proofErr w:type="spellEnd"/>
            <w:r w:rsidRPr="00C4301A">
              <w:rPr>
                <w:color w:val="000000"/>
                <w:sz w:val="18"/>
                <w:szCs w:val="18"/>
                <w:lang w:val="en-US"/>
              </w:rPr>
              <w:t>, 3(72), 261-269.</w:t>
            </w:r>
          </w:p>
        </w:tc>
        <w:tc>
          <w:tcPr>
            <w:tcW w:w="106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20C4D68" w14:textId="77777777" w:rsidR="00264A11" w:rsidRPr="00264A11" w:rsidRDefault="00264A11" w:rsidP="0087531D">
            <w:pPr>
              <w:jc w:val="center"/>
              <w:rPr>
                <w:sz w:val="18"/>
                <w:szCs w:val="18"/>
                <w:lang w:val="sr-Latn-RS"/>
              </w:rPr>
            </w:pPr>
            <w:r w:rsidRPr="00C4301A">
              <w:rPr>
                <w:sz w:val="18"/>
                <w:szCs w:val="18"/>
                <w:lang w:val="ru-RU"/>
              </w:rPr>
              <w:t>М</w:t>
            </w:r>
            <w:r w:rsidRPr="00264A11">
              <w:rPr>
                <w:sz w:val="18"/>
                <w:szCs w:val="18"/>
                <w:lang w:val="ru-RU"/>
              </w:rPr>
              <w:t>5</w:t>
            </w:r>
            <w:r>
              <w:rPr>
                <w:sz w:val="18"/>
                <w:szCs w:val="18"/>
                <w:lang w:val="sr-Latn-RS"/>
              </w:rPr>
              <w:t>3</w:t>
            </w:r>
          </w:p>
        </w:tc>
      </w:tr>
      <w:bookmarkEnd w:id="0"/>
      <w:bookmarkEnd w:id="4"/>
      <w:tr w:rsidR="00830DB7" w:rsidRPr="00C4301A" w14:paraId="3717B3B3" w14:textId="77777777" w:rsidTr="0062308C">
        <w:trPr>
          <w:trHeight w:val="340"/>
          <w:jc w:val="center"/>
        </w:trPr>
        <w:tc>
          <w:tcPr>
            <w:tcW w:w="547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49A95BAE" w14:textId="77777777" w:rsidR="00830DB7" w:rsidRPr="00C4301A" w:rsidRDefault="0056378B" w:rsidP="008E1439">
            <w:pPr>
              <w:jc w:val="center"/>
              <w:rPr>
                <w:sz w:val="18"/>
                <w:szCs w:val="18"/>
                <w:lang w:val="sr-Latn-RS"/>
              </w:rPr>
            </w:pPr>
            <w:r w:rsidRPr="00C4301A">
              <w:rPr>
                <w:sz w:val="18"/>
                <w:szCs w:val="18"/>
                <w:lang w:val="sr-Latn-RS"/>
              </w:rPr>
              <w:t>1</w:t>
            </w:r>
            <w:r w:rsidR="00264A11">
              <w:rPr>
                <w:sz w:val="18"/>
                <w:szCs w:val="18"/>
                <w:lang w:val="sr-Latn-RS"/>
              </w:rPr>
              <w:t>2</w:t>
            </w:r>
            <w:r w:rsidRPr="00C4301A">
              <w:rPr>
                <w:sz w:val="18"/>
                <w:szCs w:val="18"/>
                <w:lang w:val="sr-Latn-RS"/>
              </w:rPr>
              <w:t>.</w:t>
            </w:r>
          </w:p>
        </w:tc>
        <w:tc>
          <w:tcPr>
            <w:tcW w:w="9178" w:type="dxa"/>
            <w:gridSpan w:val="7"/>
            <w:tcBorders>
              <w:bottom w:val="single" w:sz="4" w:space="0" w:color="auto"/>
            </w:tcBorders>
            <w:vAlign w:val="center"/>
          </w:tcPr>
          <w:p w14:paraId="012EEBDF" w14:textId="77777777" w:rsidR="00C4301A" w:rsidRPr="00C4301A" w:rsidRDefault="00264A11" w:rsidP="00C4301A">
            <w:pPr>
              <w:rPr>
                <w:color w:val="000000"/>
                <w:sz w:val="18"/>
                <w:szCs w:val="18"/>
                <w:lang w:val="en-US"/>
              </w:rPr>
            </w:pPr>
            <w:bookmarkStart w:id="5" w:name="_Hlk55517356"/>
            <w:bookmarkStart w:id="6" w:name="_Hlk499681954"/>
            <w:proofErr w:type="spellStart"/>
            <w:r w:rsidRPr="00264A11">
              <w:rPr>
                <w:color w:val="000000"/>
                <w:sz w:val="18"/>
                <w:szCs w:val="18"/>
                <w:lang w:val="en-US"/>
              </w:rPr>
              <w:t>Milanović</w:t>
            </w:r>
            <w:proofErr w:type="spellEnd"/>
            <w:r w:rsidRPr="00264A11">
              <w:rPr>
                <w:color w:val="000000"/>
                <w:sz w:val="18"/>
                <w:szCs w:val="18"/>
                <w:lang w:val="en-US"/>
              </w:rPr>
              <w:t xml:space="preserve">, A., </w:t>
            </w:r>
            <w:proofErr w:type="spellStart"/>
            <w:r w:rsidRPr="00264A11">
              <w:rPr>
                <w:color w:val="000000"/>
                <w:sz w:val="18"/>
                <w:szCs w:val="18"/>
                <w:lang w:val="en-US"/>
              </w:rPr>
              <w:t>Novković</w:t>
            </w:r>
            <w:proofErr w:type="spellEnd"/>
            <w:r w:rsidRPr="00264A11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64A11">
              <w:rPr>
                <w:color w:val="000000"/>
                <w:sz w:val="18"/>
                <w:szCs w:val="18"/>
                <w:lang w:val="en-US"/>
              </w:rPr>
              <w:t>Cvetković</w:t>
            </w:r>
            <w:proofErr w:type="spellEnd"/>
            <w:r w:rsidRPr="00264A11">
              <w:rPr>
                <w:color w:val="000000"/>
                <w:sz w:val="18"/>
                <w:szCs w:val="18"/>
                <w:lang w:val="en-US"/>
              </w:rPr>
              <w:t xml:space="preserve">, B. &amp; </w:t>
            </w:r>
            <w:proofErr w:type="spellStart"/>
            <w:r w:rsidRPr="00264A11">
              <w:rPr>
                <w:b/>
                <w:bCs/>
                <w:color w:val="000000"/>
                <w:sz w:val="18"/>
                <w:szCs w:val="18"/>
                <w:lang w:val="en-US"/>
              </w:rPr>
              <w:t>Maksimović</w:t>
            </w:r>
            <w:proofErr w:type="spellEnd"/>
            <w:r w:rsidRPr="00264A11">
              <w:rPr>
                <w:b/>
                <w:bCs/>
                <w:color w:val="000000"/>
                <w:sz w:val="18"/>
                <w:szCs w:val="18"/>
                <w:lang w:val="en-US"/>
              </w:rPr>
              <w:t>, J.</w:t>
            </w:r>
            <w:r w:rsidRPr="00264A11">
              <w:rPr>
                <w:color w:val="000000"/>
                <w:sz w:val="18"/>
                <w:szCs w:val="18"/>
                <w:lang w:val="en-US"/>
              </w:rPr>
              <w:t xml:space="preserve"> (2020). Digital literacy-an important component of future teachers’ education. </w:t>
            </w:r>
            <w:proofErr w:type="spellStart"/>
            <w:r w:rsidRPr="00264A11">
              <w:rPr>
                <w:i/>
                <w:iCs/>
                <w:color w:val="000000"/>
                <w:sz w:val="18"/>
                <w:szCs w:val="18"/>
                <w:lang w:val="en-US"/>
              </w:rPr>
              <w:t>Zbornik</w:t>
            </w:r>
            <w:proofErr w:type="spellEnd"/>
            <w:r w:rsidRPr="00264A11">
              <w:rPr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64A11">
              <w:rPr>
                <w:i/>
                <w:iCs/>
                <w:color w:val="000000"/>
                <w:sz w:val="18"/>
                <w:szCs w:val="18"/>
                <w:lang w:val="en-US"/>
              </w:rPr>
              <w:t>radova</w:t>
            </w:r>
            <w:proofErr w:type="spellEnd"/>
            <w:r w:rsidRPr="00264A11">
              <w:rPr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64A11">
              <w:rPr>
                <w:i/>
                <w:iCs/>
                <w:color w:val="000000"/>
                <w:sz w:val="18"/>
                <w:szCs w:val="18"/>
                <w:lang w:val="en-US"/>
              </w:rPr>
              <w:t>sa</w:t>
            </w:r>
            <w:proofErr w:type="spellEnd"/>
            <w:r w:rsidRPr="00264A11">
              <w:rPr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64A11">
              <w:rPr>
                <w:i/>
                <w:iCs/>
                <w:color w:val="000000"/>
                <w:sz w:val="18"/>
                <w:szCs w:val="18"/>
                <w:lang w:val="en-US"/>
              </w:rPr>
              <w:t>međunarodnog</w:t>
            </w:r>
            <w:proofErr w:type="spellEnd"/>
            <w:r w:rsidRPr="00264A11">
              <w:rPr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64A11">
              <w:rPr>
                <w:i/>
                <w:iCs/>
                <w:color w:val="000000"/>
                <w:sz w:val="18"/>
                <w:szCs w:val="18"/>
                <w:lang w:val="en-US"/>
              </w:rPr>
              <w:t>naučnog</w:t>
            </w:r>
            <w:proofErr w:type="spellEnd"/>
            <w:r w:rsidRPr="00264A11">
              <w:rPr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64A11">
              <w:rPr>
                <w:i/>
                <w:iCs/>
                <w:color w:val="000000"/>
                <w:sz w:val="18"/>
                <w:szCs w:val="18"/>
                <w:lang w:val="en-US"/>
              </w:rPr>
              <w:t>skupa</w:t>
            </w:r>
            <w:proofErr w:type="spellEnd"/>
            <w:r w:rsidRPr="00264A11">
              <w:rPr>
                <w:i/>
                <w:iCs/>
                <w:color w:val="000000"/>
                <w:sz w:val="18"/>
                <w:szCs w:val="18"/>
                <w:lang w:val="en-US"/>
              </w:rPr>
              <w:t>: The strategic directions of the development and improvement of higher education quality: challenges and dilemmas</w:t>
            </w:r>
            <w:r w:rsidRPr="00264A11">
              <w:rPr>
                <w:color w:val="000000"/>
                <w:sz w:val="18"/>
                <w:szCs w:val="18"/>
                <w:lang w:val="en-US"/>
              </w:rPr>
              <w:t xml:space="preserve">, 187-199. </w:t>
            </w:r>
            <w:bookmarkEnd w:id="5"/>
            <w:r w:rsidRPr="00264A11">
              <w:rPr>
                <w:color w:val="000000"/>
                <w:sz w:val="18"/>
                <w:szCs w:val="18"/>
                <w:lang w:val="en-US"/>
              </w:rPr>
              <w:t>ISBN 978-86-6301-039-0</w:t>
            </w:r>
            <w:bookmarkEnd w:id="6"/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  <w:vAlign w:val="center"/>
          </w:tcPr>
          <w:p w14:paraId="001B6C55" w14:textId="77777777" w:rsidR="00830DB7" w:rsidRPr="00C4301A" w:rsidRDefault="00830DB7" w:rsidP="0087531D">
            <w:pPr>
              <w:jc w:val="center"/>
              <w:rPr>
                <w:sz w:val="18"/>
                <w:szCs w:val="18"/>
                <w:lang w:val="sr-Latn-RS"/>
              </w:rPr>
            </w:pPr>
            <w:r w:rsidRPr="00C4301A">
              <w:rPr>
                <w:sz w:val="18"/>
                <w:szCs w:val="18"/>
                <w:lang w:val="ru-RU"/>
              </w:rPr>
              <w:t>М</w:t>
            </w:r>
            <w:r w:rsidR="00264A11">
              <w:rPr>
                <w:sz w:val="18"/>
                <w:szCs w:val="18"/>
                <w:lang w:val="sr-Latn-RS"/>
              </w:rPr>
              <w:t>33</w:t>
            </w:r>
          </w:p>
        </w:tc>
      </w:tr>
      <w:tr w:rsidR="0087531D" w:rsidRPr="00C4301A" w14:paraId="5668FC9E" w14:textId="77777777" w:rsidTr="0062308C">
        <w:trPr>
          <w:trHeight w:val="340"/>
          <w:jc w:val="center"/>
        </w:trPr>
        <w:tc>
          <w:tcPr>
            <w:tcW w:w="10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AE00FE" w14:textId="56995C98" w:rsidR="0087531D" w:rsidRPr="00C4301A" w:rsidRDefault="0062308C" w:rsidP="0087531D">
            <w:pPr>
              <w:jc w:val="center"/>
              <w:rPr>
                <w:sz w:val="18"/>
                <w:szCs w:val="18"/>
                <w:lang w:val="ru-RU"/>
              </w:rPr>
            </w:pPr>
            <w:r w:rsidRPr="00D12A49">
              <w:rPr>
                <w:b/>
                <w:sz w:val="18"/>
                <w:szCs w:val="18"/>
                <w:lang w:val="sr-Cyrl-CS" w:eastAsia="sr-Latn-RS"/>
              </w:rPr>
              <w:t>Менторства у последње три године</w:t>
            </w:r>
          </w:p>
        </w:tc>
      </w:tr>
      <w:tr w:rsidR="0087531D" w:rsidRPr="00C4301A" w14:paraId="27E6572B" w14:textId="77777777" w:rsidTr="0062308C">
        <w:trPr>
          <w:trHeight w:val="34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C89154F" w14:textId="7B8C7A20" w:rsidR="0087531D" w:rsidRPr="0087531D" w:rsidRDefault="0087531D" w:rsidP="0087531D">
            <w:pPr>
              <w:jc w:val="center"/>
              <w:rPr>
                <w:b/>
                <w:bCs/>
                <w:sz w:val="18"/>
                <w:szCs w:val="18"/>
                <w:lang w:val="sr-Cyrl-RS"/>
              </w:rPr>
            </w:pPr>
            <w:r w:rsidRPr="0087531D">
              <w:rPr>
                <w:b/>
                <w:bCs/>
                <w:sz w:val="18"/>
                <w:szCs w:val="18"/>
                <w:lang w:val="sr-Cyrl-RS"/>
              </w:rPr>
              <w:t>Р. бр.</w:t>
            </w:r>
          </w:p>
        </w:tc>
        <w:tc>
          <w:tcPr>
            <w:tcW w:w="77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58E2" w14:textId="25E88472" w:rsidR="0087531D" w:rsidRPr="00264A11" w:rsidRDefault="0087531D" w:rsidP="0087531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A49">
              <w:rPr>
                <w:b/>
                <w:sz w:val="18"/>
                <w:szCs w:val="18"/>
                <w:lang w:val="sr-Latn-RS" w:eastAsia="sr-Latn-RS"/>
              </w:rPr>
              <w:t>Име и презиме докторанда, тема докторске дисертације, факултет/универзитет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C368A" w14:textId="77777777" w:rsidR="0087531D" w:rsidRDefault="0087531D" w:rsidP="0087531D">
            <w:pPr>
              <w:jc w:val="center"/>
              <w:rPr>
                <w:b/>
                <w:sz w:val="18"/>
                <w:szCs w:val="18"/>
                <w:lang w:val="sr-Latn-RS" w:eastAsia="sr-Latn-RS"/>
              </w:rPr>
            </w:pPr>
            <w:r w:rsidRPr="00D12A49">
              <w:rPr>
                <w:b/>
                <w:sz w:val="18"/>
                <w:szCs w:val="18"/>
                <w:lang w:val="sr-Latn-RS" w:eastAsia="sr-Latn-RS"/>
              </w:rPr>
              <w:t xml:space="preserve">Датум </w:t>
            </w:r>
          </w:p>
          <w:p w14:paraId="1575A022" w14:textId="0C2D308D" w:rsidR="0087531D" w:rsidRPr="00264A11" w:rsidRDefault="0087531D" w:rsidP="0087531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A49">
              <w:rPr>
                <w:b/>
                <w:sz w:val="18"/>
                <w:szCs w:val="18"/>
                <w:lang w:val="sr-Latn-RS" w:eastAsia="sr-Latn-RS"/>
              </w:rPr>
              <w:t>именов.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FD82" w14:textId="15C6F18B" w:rsidR="0087531D" w:rsidRPr="00C4301A" w:rsidRDefault="0087531D" w:rsidP="0087531D">
            <w:pPr>
              <w:jc w:val="center"/>
              <w:rPr>
                <w:sz w:val="18"/>
                <w:szCs w:val="18"/>
                <w:lang w:val="ru-RU"/>
              </w:rPr>
            </w:pPr>
            <w:r w:rsidRPr="00D12A49">
              <w:rPr>
                <w:b/>
                <w:sz w:val="18"/>
                <w:szCs w:val="18"/>
                <w:lang w:val="sr-Cyrl-CS" w:eastAsia="sr-Latn-RS"/>
              </w:rPr>
              <w:t>Датум одбране</w:t>
            </w:r>
          </w:p>
        </w:tc>
      </w:tr>
      <w:tr w:rsidR="0087531D" w:rsidRPr="00C4301A" w14:paraId="297E6EE6" w14:textId="77777777" w:rsidTr="0062308C">
        <w:trPr>
          <w:trHeight w:val="34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D7DB638" w14:textId="7E712E0E" w:rsidR="0087531D" w:rsidRPr="0087531D" w:rsidRDefault="0087531D" w:rsidP="0087531D">
            <w:pPr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77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443FA" w14:textId="7B048798" w:rsidR="0087531D" w:rsidRPr="00264A11" w:rsidRDefault="0087531D" w:rsidP="0087531D">
            <w:pPr>
              <w:rPr>
                <w:color w:val="000000"/>
                <w:sz w:val="18"/>
                <w:szCs w:val="18"/>
                <w:lang w:val="en-US"/>
              </w:rPr>
            </w:pPr>
            <w:r w:rsidRPr="00F6210E">
              <w:rPr>
                <w:sz w:val="20"/>
                <w:szCs w:val="20"/>
                <w:lang w:val="ru-RU"/>
              </w:rPr>
              <w:t xml:space="preserve">Јелена Османовић Зајић, </w:t>
            </w:r>
            <w:r w:rsidRPr="00F6210E">
              <w:rPr>
                <w:i/>
                <w:iCs/>
                <w:sz w:val="20"/>
                <w:szCs w:val="20"/>
              </w:rPr>
              <w:t>Улога и значај поступка ретестирања у квази-експерименталним истраживањима у педагогији,</w:t>
            </w:r>
            <w:r w:rsidRPr="00F6210E">
              <w:rPr>
                <w:sz w:val="20"/>
                <w:szCs w:val="20"/>
              </w:rPr>
              <w:t xml:space="preserve"> Филозофски факултет, Универзитет у Нишу.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D284" w14:textId="096214CA" w:rsidR="0087531D" w:rsidRPr="00264A11" w:rsidRDefault="0087531D" w:rsidP="0087531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F6210E">
              <w:rPr>
                <w:sz w:val="20"/>
                <w:szCs w:val="20"/>
              </w:rPr>
              <w:t>28.</w:t>
            </w:r>
            <w:r>
              <w:rPr>
                <w:sz w:val="20"/>
                <w:szCs w:val="20"/>
              </w:rPr>
              <w:t xml:space="preserve"> </w:t>
            </w:r>
            <w:r w:rsidRPr="00F6210E">
              <w:rPr>
                <w:sz w:val="20"/>
                <w:szCs w:val="20"/>
              </w:rPr>
              <w:t>6.</w:t>
            </w:r>
            <w:r>
              <w:rPr>
                <w:sz w:val="20"/>
                <w:szCs w:val="20"/>
              </w:rPr>
              <w:t xml:space="preserve"> </w:t>
            </w:r>
            <w:r w:rsidRPr="00F6210E">
              <w:rPr>
                <w:sz w:val="20"/>
                <w:szCs w:val="20"/>
              </w:rPr>
              <w:t>2019.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9062B" w14:textId="593B1193" w:rsidR="0087531D" w:rsidRPr="00C4301A" w:rsidRDefault="0087531D" w:rsidP="0087531D">
            <w:pPr>
              <w:jc w:val="center"/>
              <w:rPr>
                <w:sz w:val="18"/>
                <w:szCs w:val="18"/>
                <w:lang w:val="ru-RU"/>
              </w:rPr>
            </w:pPr>
            <w:r w:rsidRPr="00F6210E">
              <w:rPr>
                <w:sz w:val="20"/>
                <w:szCs w:val="20"/>
              </w:rPr>
              <w:t>9.</w:t>
            </w:r>
            <w:r>
              <w:rPr>
                <w:sz w:val="20"/>
                <w:szCs w:val="20"/>
              </w:rPr>
              <w:t xml:space="preserve"> </w:t>
            </w:r>
            <w:r w:rsidRPr="00F6210E">
              <w:rPr>
                <w:sz w:val="20"/>
                <w:szCs w:val="20"/>
              </w:rPr>
              <w:t>7. 2021.</w:t>
            </w:r>
          </w:p>
        </w:tc>
      </w:tr>
      <w:bookmarkEnd w:id="2"/>
    </w:tbl>
    <w:p w14:paraId="2355AF8F" w14:textId="77777777" w:rsidR="00EA0590" w:rsidRPr="005D659E" w:rsidRDefault="00EA0590" w:rsidP="00EA0590">
      <w:pPr>
        <w:rPr>
          <w:vanish/>
        </w:rPr>
      </w:pPr>
    </w:p>
    <w:p w14:paraId="2215FF57" w14:textId="77777777" w:rsidR="00EA0590" w:rsidRPr="005D659E" w:rsidRDefault="00EA0590" w:rsidP="00EA0590">
      <w:pPr>
        <w:rPr>
          <w:vanish/>
        </w:rPr>
      </w:pPr>
    </w:p>
    <w:tbl>
      <w:tblPr>
        <w:tblW w:w="10791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71"/>
        <w:gridCol w:w="181"/>
        <w:gridCol w:w="1504"/>
        <w:gridCol w:w="1375"/>
        <w:gridCol w:w="540"/>
        <w:gridCol w:w="2879"/>
        <w:gridCol w:w="1620"/>
        <w:gridCol w:w="1260"/>
        <w:gridCol w:w="540"/>
        <w:gridCol w:w="521"/>
      </w:tblGrid>
      <w:tr w:rsidR="00EA0590" w:rsidRPr="0082465B" w14:paraId="5BB88341" w14:textId="77777777" w:rsidTr="005F69BB">
        <w:trPr>
          <w:trHeight w:val="340"/>
          <w:jc w:val="center"/>
        </w:trPr>
        <w:tc>
          <w:tcPr>
            <w:tcW w:w="9730" w:type="dxa"/>
            <w:gridSpan w:val="8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40F1718A" w14:textId="77777777" w:rsidR="00EA0590" w:rsidRPr="0082465B" w:rsidRDefault="00EA0590" w:rsidP="008E1439">
            <w:pPr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Ментор испуњава услове</w:t>
            </w:r>
            <w:r w:rsidRPr="0082465B">
              <w:rPr>
                <w:b/>
                <w:sz w:val="20"/>
                <w:szCs w:val="20"/>
                <w:lang w:val="sr-Cyrl-CS"/>
              </w:rPr>
              <w:t xml:space="preserve"> предвиђене Законом о високом образовању, Статутом Универзитета и Статутом Факултета</w:t>
            </w:r>
          </w:p>
        </w:tc>
        <w:tc>
          <w:tcPr>
            <w:tcW w:w="540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099D992C" w14:textId="77777777" w:rsidR="00EA0590" w:rsidRPr="009168A2" w:rsidRDefault="00EA0590" w:rsidP="008E1439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9168A2">
              <w:rPr>
                <w:bCs/>
                <w:sz w:val="20"/>
                <w:szCs w:val="20"/>
                <w:highlight w:val="yellow"/>
                <w:lang w:val="ru-RU"/>
              </w:rPr>
              <w:t>ДА</w:t>
            </w:r>
          </w:p>
        </w:tc>
        <w:tc>
          <w:tcPr>
            <w:tcW w:w="521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7E09DEE2" w14:textId="77777777" w:rsidR="00EA0590" w:rsidRPr="0082465B" w:rsidRDefault="00EA0590" w:rsidP="008E143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НЕ</w:t>
            </w:r>
          </w:p>
        </w:tc>
      </w:tr>
      <w:tr w:rsidR="00EA0590" w:rsidRPr="0082465B" w14:paraId="47BD1984" w14:textId="77777777" w:rsidTr="005F69BB">
        <w:trPr>
          <w:trHeight w:val="340"/>
          <w:jc w:val="center"/>
        </w:trPr>
        <w:tc>
          <w:tcPr>
            <w:tcW w:w="10791" w:type="dxa"/>
            <w:gridSpan w:val="10"/>
            <w:shd w:val="clear" w:color="auto" w:fill="auto"/>
            <w:vAlign w:val="center"/>
          </w:tcPr>
          <w:p w14:paraId="509037E5" w14:textId="77777777" w:rsidR="00EA0590" w:rsidRPr="0082465B" w:rsidRDefault="00EA0590" w:rsidP="008E1439">
            <w:pPr>
              <w:rPr>
                <w:i/>
                <w:color w:val="808080"/>
                <w:sz w:val="20"/>
                <w:szCs w:val="20"/>
                <w:lang w:val="ru-RU"/>
              </w:rPr>
            </w:pPr>
            <w:r w:rsidRPr="0082465B">
              <w:rPr>
                <w:i/>
                <w:color w:val="808080"/>
                <w:sz w:val="20"/>
                <w:szCs w:val="20"/>
                <w:lang w:val="ru-RU"/>
              </w:rPr>
              <w:t>образложење</w:t>
            </w:r>
          </w:p>
        </w:tc>
      </w:tr>
      <w:tr w:rsidR="00EA0590" w:rsidRPr="0082465B" w14:paraId="66743D6A" w14:textId="77777777" w:rsidTr="005F69BB">
        <w:trPr>
          <w:trHeight w:val="340"/>
          <w:jc w:val="center"/>
        </w:trPr>
        <w:tc>
          <w:tcPr>
            <w:tcW w:w="10791" w:type="dxa"/>
            <w:gridSpan w:val="10"/>
            <w:shd w:val="clear" w:color="auto" w:fill="D9D9D9"/>
            <w:vAlign w:val="center"/>
          </w:tcPr>
          <w:p w14:paraId="3C88C82D" w14:textId="77777777" w:rsidR="00EA0590" w:rsidRPr="0082465B" w:rsidRDefault="00EA0590" w:rsidP="008E1439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 xml:space="preserve">ОБРАЗЛОЖЕЊЕ ТЕМЕ </w:t>
            </w:r>
          </w:p>
        </w:tc>
      </w:tr>
      <w:tr w:rsidR="00EA0590" w:rsidRPr="0082465B" w14:paraId="56206509" w14:textId="77777777" w:rsidTr="005F69BB">
        <w:trPr>
          <w:trHeight w:val="340"/>
          <w:jc w:val="center"/>
        </w:trPr>
        <w:tc>
          <w:tcPr>
            <w:tcW w:w="2056" w:type="dxa"/>
            <w:gridSpan w:val="3"/>
            <w:shd w:val="clear" w:color="auto" w:fill="F3F3F3"/>
            <w:vAlign w:val="center"/>
          </w:tcPr>
          <w:p w14:paraId="1464E7E6" w14:textId="77777777" w:rsidR="00EA0590" w:rsidRPr="0082465B" w:rsidRDefault="00EA0590" w:rsidP="008E1439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Предлог наслова теме докторске дисертације</w:t>
            </w:r>
          </w:p>
        </w:tc>
        <w:tc>
          <w:tcPr>
            <w:tcW w:w="8735" w:type="dxa"/>
            <w:gridSpan w:val="7"/>
            <w:vAlign w:val="center"/>
          </w:tcPr>
          <w:p w14:paraId="7E21149A" w14:textId="77777777" w:rsidR="00EA0590" w:rsidRPr="0082465B" w:rsidRDefault="00830DB7" w:rsidP="008E1439">
            <w:pPr>
              <w:rPr>
                <w:lang w:val="ru-RU"/>
              </w:rPr>
            </w:pPr>
            <w:r>
              <w:rPr>
                <w:lang w:val="ru-RU"/>
              </w:rPr>
              <w:t>Рефлексивна пракса и дигитална компетентност наставника</w:t>
            </w:r>
          </w:p>
        </w:tc>
      </w:tr>
      <w:tr w:rsidR="00EA0590" w:rsidRPr="0082465B" w14:paraId="5E8AF11B" w14:textId="77777777" w:rsidTr="005F69BB">
        <w:trPr>
          <w:trHeight w:val="340"/>
          <w:jc w:val="center"/>
        </w:trPr>
        <w:tc>
          <w:tcPr>
            <w:tcW w:w="2056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33D0E54F" w14:textId="77777777" w:rsidR="00EA0590" w:rsidRPr="0082465B" w:rsidRDefault="00EA0590" w:rsidP="008E1439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Научно поље</w:t>
            </w:r>
          </w:p>
        </w:tc>
        <w:tc>
          <w:tcPr>
            <w:tcW w:w="8735" w:type="dxa"/>
            <w:gridSpan w:val="7"/>
            <w:tcBorders>
              <w:bottom w:val="single" w:sz="4" w:space="0" w:color="C0C0C0"/>
            </w:tcBorders>
            <w:vAlign w:val="center"/>
          </w:tcPr>
          <w:p w14:paraId="6FF9D5C6" w14:textId="77777777" w:rsidR="00EA0590" w:rsidRPr="0082465B" w:rsidRDefault="00830DB7" w:rsidP="008E1439">
            <w:pPr>
              <w:rPr>
                <w:lang w:val="ru-RU"/>
              </w:rPr>
            </w:pPr>
            <w:r w:rsidRPr="00985AE8">
              <w:rPr>
                <w:lang w:val="sr-Cyrl-RS"/>
              </w:rPr>
              <w:t>Друштвено-хуманистичке науке</w:t>
            </w:r>
          </w:p>
        </w:tc>
      </w:tr>
      <w:tr w:rsidR="00EA0590" w:rsidRPr="0082465B" w14:paraId="58F64B52" w14:textId="77777777" w:rsidTr="005F69BB">
        <w:trPr>
          <w:trHeight w:val="340"/>
          <w:jc w:val="center"/>
        </w:trPr>
        <w:tc>
          <w:tcPr>
            <w:tcW w:w="2056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13509378" w14:textId="77777777" w:rsidR="00EA0590" w:rsidRPr="0082465B" w:rsidRDefault="00EA0590" w:rsidP="008E1439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Научна област</w:t>
            </w:r>
          </w:p>
        </w:tc>
        <w:tc>
          <w:tcPr>
            <w:tcW w:w="8735" w:type="dxa"/>
            <w:gridSpan w:val="7"/>
            <w:tcBorders>
              <w:bottom w:val="single" w:sz="4" w:space="0" w:color="C0C0C0"/>
            </w:tcBorders>
            <w:vAlign w:val="center"/>
          </w:tcPr>
          <w:p w14:paraId="15362356" w14:textId="77777777" w:rsidR="00EA0590" w:rsidRPr="0082465B" w:rsidRDefault="00830DB7" w:rsidP="008E1439">
            <w:pPr>
              <w:rPr>
                <w:lang w:val="ru-RU"/>
              </w:rPr>
            </w:pPr>
            <w:r w:rsidRPr="00985AE8">
              <w:rPr>
                <w:lang w:val="ru-RU"/>
              </w:rPr>
              <w:t>Педагогија</w:t>
            </w:r>
          </w:p>
        </w:tc>
      </w:tr>
      <w:tr w:rsidR="00EA0590" w:rsidRPr="0082465B" w14:paraId="44D279C8" w14:textId="77777777" w:rsidTr="005F69BB">
        <w:trPr>
          <w:trHeight w:val="340"/>
          <w:jc w:val="center"/>
        </w:trPr>
        <w:tc>
          <w:tcPr>
            <w:tcW w:w="2056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7BB461A7" w14:textId="77777777" w:rsidR="00EA0590" w:rsidRPr="0082465B" w:rsidRDefault="00EA0590" w:rsidP="008E1439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8735" w:type="dxa"/>
            <w:gridSpan w:val="7"/>
            <w:tcBorders>
              <w:bottom w:val="single" w:sz="4" w:space="0" w:color="C0C0C0"/>
            </w:tcBorders>
            <w:vAlign w:val="center"/>
          </w:tcPr>
          <w:p w14:paraId="52132DD7" w14:textId="77777777" w:rsidR="00EA0590" w:rsidRPr="0082465B" w:rsidRDefault="00830DB7" w:rsidP="008E1439">
            <w:pPr>
              <w:rPr>
                <w:lang w:val="ru-RU"/>
              </w:rPr>
            </w:pPr>
            <w:r w:rsidRPr="00985AE8">
              <w:rPr>
                <w:lang w:val="ru-RU"/>
              </w:rPr>
              <w:t>Педагогија</w:t>
            </w:r>
          </w:p>
        </w:tc>
      </w:tr>
      <w:tr w:rsidR="00EA0590" w:rsidRPr="0082465B" w14:paraId="1C526A7A" w14:textId="77777777" w:rsidTr="005F69BB">
        <w:trPr>
          <w:trHeight w:val="340"/>
          <w:jc w:val="center"/>
        </w:trPr>
        <w:tc>
          <w:tcPr>
            <w:tcW w:w="2056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5996BDFA" w14:textId="77777777" w:rsidR="00EA0590" w:rsidRPr="0082465B" w:rsidRDefault="00EA0590" w:rsidP="008E1439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Научна дисциплина</w:t>
            </w:r>
          </w:p>
        </w:tc>
        <w:tc>
          <w:tcPr>
            <w:tcW w:w="8735" w:type="dxa"/>
            <w:gridSpan w:val="7"/>
            <w:tcBorders>
              <w:bottom w:val="single" w:sz="4" w:space="0" w:color="C0C0C0"/>
            </w:tcBorders>
            <w:vAlign w:val="center"/>
          </w:tcPr>
          <w:p w14:paraId="0703153D" w14:textId="77777777" w:rsidR="00EA0590" w:rsidRPr="0082465B" w:rsidRDefault="00830DB7" w:rsidP="008E1439">
            <w:pPr>
              <w:rPr>
                <w:lang w:val="ru-RU"/>
              </w:rPr>
            </w:pPr>
            <w:r>
              <w:t xml:space="preserve">Образовање за рефлексивну праксу, </w:t>
            </w:r>
            <w:r w:rsidRPr="004D754D">
              <w:t>Образовна технологија</w:t>
            </w:r>
          </w:p>
        </w:tc>
      </w:tr>
      <w:tr w:rsidR="00EA0590" w:rsidRPr="0082465B" w14:paraId="750AB875" w14:textId="77777777" w:rsidTr="005F69BB">
        <w:trPr>
          <w:trHeight w:val="227"/>
          <w:jc w:val="center"/>
        </w:trPr>
        <w:tc>
          <w:tcPr>
            <w:tcW w:w="371" w:type="dxa"/>
            <w:shd w:val="clear" w:color="auto" w:fill="F3F3F3"/>
            <w:vAlign w:val="center"/>
          </w:tcPr>
          <w:p w14:paraId="20CB8F55" w14:textId="77777777" w:rsidR="00EA0590" w:rsidRPr="0082465B" w:rsidRDefault="00EA0590" w:rsidP="008E1439">
            <w:pPr>
              <w:jc w:val="center"/>
              <w:rPr>
                <w:rFonts w:eastAsia="TimesNewRomanPS-BoldMT"/>
                <w:lang w:val="sr-Cyrl-CS"/>
              </w:rPr>
            </w:pPr>
            <w:r w:rsidRPr="0082465B">
              <w:rPr>
                <w:rFonts w:eastAsia="TimesNewRomanPS-BoldMT"/>
                <w:lang w:val="sr-Cyrl-CS"/>
              </w:rPr>
              <w:t>1.</w:t>
            </w:r>
          </w:p>
        </w:tc>
        <w:tc>
          <w:tcPr>
            <w:tcW w:w="10420" w:type="dxa"/>
            <w:gridSpan w:val="9"/>
            <w:shd w:val="clear" w:color="auto" w:fill="F3F3F3"/>
            <w:vAlign w:val="center"/>
          </w:tcPr>
          <w:p w14:paraId="3C466E85" w14:textId="77777777" w:rsidR="00EA0590" w:rsidRPr="0082465B" w:rsidRDefault="00EA0590" w:rsidP="008E1439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Предмет научног истраживања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800 речи)</w:t>
            </w:r>
          </w:p>
        </w:tc>
      </w:tr>
      <w:tr w:rsidR="00EA0590" w:rsidRPr="0082465B" w14:paraId="59E0BF2E" w14:textId="77777777" w:rsidTr="005F69BB">
        <w:trPr>
          <w:trHeight w:val="567"/>
          <w:jc w:val="center"/>
        </w:trPr>
        <w:tc>
          <w:tcPr>
            <w:tcW w:w="10791" w:type="dxa"/>
            <w:gridSpan w:val="10"/>
          </w:tcPr>
          <w:p w14:paraId="37536008" w14:textId="263D9F6A" w:rsidR="00830DB7" w:rsidRPr="000F42C9" w:rsidRDefault="00830DB7" w:rsidP="00830DB7">
            <w:r w:rsidRPr="000F42C9">
              <w:t>Савремени наставник схвата дигитални развој и његов утицај на промене садржаја предмета, облика и начина оцењивања и метода рада. Разуме потребу за критичком проценом, организацијом и повећаним могућностима за приступ и размену професионалних знања. Разуме промене у развоју читања, писања и усмених вештина узроковане дигиталним технологијама (Kelentrić, Helland &amp; Arstorp, 2017).</w:t>
            </w:r>
            <w:r w:rsidR="00461D9F">
              <w:rPr>
                <w:lang w:val="sr-Cyrl-RS"/>
              </w:rPr>
              <w:t xml:space="preserve"> </w:t>
            </w:r>
            <w:r w:rsidRPr="000F42C9">
              <w:rPr>
                <w:lang w:val="sr-Cyrl-RS"/>
              </w:rPr>
              <w:t>На основу напред наведеног може се</w:t>
            </w:r>
            <w:r w:rsidR="00A245FF">
              <w:rPr>
                <w:lang w:val="sr-Latn-RS"/>
              </w:rPr>
              <w:t xml:space="preserve"> </w:t>
            </w:r>
            <w:r w:rsidRPr="000F42C9">
              <w:rPr>
                <w:lang w:val="sr-Cyrl-RS"/>
              </w:rPr>
              <w:t xml:space="preserve">закључити да у новој ери, у којој се информационо-комуникациона технологија доживљава као пут модернизације образовања, мора доћи до промена у иницијалном образовању наставника и њиховом професионалном развоју. </w:t>
            </w:r>
            <w:r w:rsidRPr="000F42C9">
              <w:t xml:space="preserve">Концепт дигиталних компетенција наставника је свакако један од најзаступљенијих у научној литератури. О актуелности поменуте тематике говори чињеница да је од 2005. године објављено више од 80 </w:t>
            </w:r>
            <w:r w:rsidR="00442578">
              <w:rPr>
                <w:lang w:val="sr-Cyrl-RS"/>
              </w:rPr>
              <w:t>расправа</w:t>
            </w:r>
            <w:r w:rsidRPr="000F42C9">
              <w:t xml:space="preserve"> у којима су представљени резултати истраживања чији је главни фокус био усмерен на испитивање модела дигиталних компетенција наставника (Chai et al., 2013). Међутим, у образовним истраживањима дигитална компетентност запослених наставника у школском контексту и даље не представља стандардизовани већ еволуирајући ко</w:t>
            </w:r>
            <w:r w:rsidRPr="000F42C9">
              <w:rPr>
                <w:lang w:val="sr-Cyrl-RS"/>
              </w:rPr>
              <w:t>н</w:t>
            </w:r>
            <w:r w:rsidRPr="000F42C9">
              <w:t xml:space="preserve">цепт, повезан са убрзаним развојем дигиталне технологије </w:t>
            </w:r>
          </w:p>
          <w:p w14:paraId="1497F2BE" w14:textId="73853077" w:rsidR="00830DB7" w:rsidRPr="000F42C9" w:rsidRDefault="00830DB7" w:rsidP="00830DB7">
            <w:r w:rsidRPr="000F42C9">
              <w:rPr>
                <w:lang w:val="sr-Cyrl-RS"/>
              </w:rPr>
              <w:t>Због тога је к</w:t>
            </w:r>
            <w:r w:rsidRPr="000F42C9">
              <w:t xml:space="preserve">валитет професионалног ангажмана наставника условљен рефлексивном праксом и дигиталном компетентношћу. Рефлексивна пракса произлази из рефлексивности, заправо из анализирања властитих поступака, сумирања учинака, анализе потешкоћа и препрека у раду на основу којих се долази до закључака о ефикасности </w:t>
            </w:r>
            <w:r w:rsidRPr="000F42C9">
              <w:lastRenderedPageBreak/>
              <w:t>рада</w:t>
            </w:r>
            <w:r w:rsidR="000C517B">
              <w:rPr>
                <w:lang w:val="sr-Cyrl-RS"/>
              </w:rPr>
              <w:t xml:space="preserve"> </w:t>
            </w:r>
            <w:r w:rsidRPr="000F42C9">
              <w:rPr>
                <w:lang w:val="sr-Cyrl-RS"/>
              </w:rPr>
              <w:t>што о</w:t>
            </w:r>
            <w:r w:rsidRPr="000F42C9">
              <w:t>лакшава планирање даљих корака уз могућност елиминисања грешака. Рефлексивна пракса је услов за професионални развој наставника и побољшање квалитета образовне праксе (Bilač, 2015</w:t>
            </w:r>
            <w:r w:rsidRPr="000F42C9">
              <w:rPr>
                <w:lang w:val="sr-Cyrl-RS"/>
              </w:rPr>
              <w:t xml:space="preserve">; </w:t>
            </w:r>
            <w:r w:rsidRPr="000F42C9">
              <w:rPr>
                <w:lang w:val="sr-Latn-RS"/>
              </w:rPr>
              <w:t>Maksimović</w:t>
            </w:r>
            <w:r w:rsidRPr="000F42C9">
              <w:rPr>
                <w:lang w:val="sr-Cyrl-RS"/>
              </w:rPr>
              <w:t>, 2012</w:t>
            </w:r>
            <w:r w:rsidRPr="000F42C9">
              <w:t xml:space="preserve">), </w:t>
            </w:r>
            <w:r w:rsidRPr="000F42C9">
              <w:rPr>
                <w:lang w:val="sr-Cyrl-RS"/>
              </w:rPr>
              <w:t xml:space="preserve">као и </w:t>
            </w:r>
            <w:r w:rsidRPr="000F42C9">
              <w:t>услов за опстанак у новонасталим ситуацијама. Постоји више теоријских поставки о рефлексивној пракси. Крикшанков модел (Cruikshank</w:t>
            </w:r>
            <w:r w:rsidRPr="000F42C9">
              <w:rPr>
                <w:lang w:val="sr-Cyrl-RS"/>
              </w:rPr>
              <w:t>, 1987</w:t>
            </w:r>
            <w:r w:rsidRPr="000F42C9">
              <w:t>) рефлексивну праксу представља као способност анализе сопствене наставне праксе. Шон</w:t>
            </w:r>
            <w:r w:rsidRPr="000F42C9">
              <w:rPr>
                <w:lang w:val="sr-Cyrl-RS"/>
              </w:rPr>
              <w:t xml:space="preserve">ов </w:t>
            </w:r>
            <w:r w:rsidRPr="000F42C9">
              <w:rPr>
                <w:rStyle w:val="fontstyle01"/>
                <w:sz w:val="22"/>
                <w:szCs w:val="22"/>
              </w:rPr>
              <w:t>(Schön</w:t>
            </w:r>
            <w:r w:rsidRPr="000F42C9">
              <w:rPr>
                <w:rStyle w:val="fontstyle01"/>
                <w:sz w:val="22"/>
                <w:szCs w:val="22"/>
                <w:lang w:val="sr-Cyrl-RS"/>
              </w:rPr>
              <w:t>, 1987</w:t>
            </w:r>
            <w:r w:rsidRPr="000F42C9">
              <w:rPr>
                <w:rStyle w:val="fontstyle01"/>
                <w:sz w:val="22"/>
                <w:szCs w:val="22"/>
              </w:rPr>
              <w:t>)</w:t>
            </w:r>
            <w:r w:rsidR="000C517B">
              <w:rPr>
                <w:rStyle w:val="fontstyle01"/>
                <w:sz w:val="22"/>
                <w:szCs w:val="22"/>
                <w:lang w:val="sr-Cyrl-RS"/>
              </w:rPr>
              <w:t xml:space="preserve"> </w:t>
            </w:r>
            <w:r w:rsidRPr="000F42C9">
              <w:rPr>
                <w:rStyle w:val="fontstyle01"/>
                <w:sz w:val="22"/>
                <w:szCs w:val="22"/>
                <w:lang w:val="sr-Cyrl-RS"/>
              </w:rPr>
              <w:t xml:space="preserve">модел </w:t>
            </w:r>
            <w:r w:rsidRPr="000F42C9">
              <w:rPr>
                <w:rStyle w:val="fontstyle01"/>
                <w:sz w:val="22"/>
                <w:szCs w:val="22"/>
              </w:rPr>
              <w:t>обухвата два нивоа релексивности, рефлексиј</w:t>
            </w:r>
            <w:r w:rsidRPr="000F42C9">
              <w:rPr>
                <w:rStyle w:val="fontstyle01"/>
                <w:sz w:val="22"/>
                <w:szCs w:val="22"/>
                <w:lang w:val="sr-Cyrl-RS"/>
              </w:rPr>
              <w:t>у</w:t>
            </w:r>
            <w:r w:rsidRPr="000F42C9">
              <w:rPr>
                <w:rStyle w:val="fontstyle01"/>
                <w:sz w:val="22"/>
                <w:szCs w:val="22"/>
              </w:rPr>
              <w:t xml:space="preserve"> o акцији (мислити унапред, анализирати, искусити, критички одговарати) и рефлексиј</w:t>
            </w:r>
            <w:r w:rsidRPr="000F42C9">
              <w:rPr>
                <w:rStyle w:val="fontstyle01"/>
                <w:sz w:val="22"/>
                <w:szCs w:val="22"/>
                <w:lang w:val="sr-Cyrl-RS"/>
              </w:rPr>
              <w:t>у</w:t>
            </w:r>
            <w:r w:rsidRPr="000F42C9">
              <w:rPr>
                <w:rStyle w:val="fontstyle01"/>
                <w:sz w:val="22"/>
                <w:szCs w:val="22"/>
              </w:rPr>
              <w:t xml:space="preserve"> у акцији (размишљање у току акције, дискусија, вођење записа о рефлексији), </w:t>
            </w:r>
            <w:r w:rsidRPr="000F42C9">
              <w:rPr>
                <w:rStyle w:val="fontstyle01"/>
                <w:sz w:val="22"/>
                <w:szCs w:val="22"/>
                <w:lang w:val="sr-Cyrl-RS"/>
              </w:rPr>
              <w:t xml:space="preserve">тако да под </w:t>
            </w:r>
            <w:r w:rsidRPr="000F42C9">
              <w:t>рефлексиј</w:t>
            </w:r>
            <w:r w:rsidRPr="000F42C9">
              <w:rPr>
                <w:lang w:val="sr-Cyrl-RS"/>
              </w:rPr>
              <w:t>ом</w:t>
            </w:r>
            <w:r w:rsidRPr="000F42C9">
              <w:t xml:space="preserve"> на делу</w:t>
            </w:r>
            <w:r w:rsidRPr="000F42C9">
              <w:rPr>
                <w:lang w:val="sr-Cyrl-RS"/>
              </w:rPr>
              <w:t xml:space="preserve"> мисли</w:t>
            </w:r>
            <w:r w:rsidR="000C517B">
              <w:rPr>
                <w:lang w:val="sr-Cyrl-RS"/>
              </w:rPr>
              <w:t xml:space="preserve"> </w:t>
            </w:r>
            <w:r w:rsidRPr="000F42C9">
              <w:t xml:space="preserve">на промишљање практичара док делује и на тај начин уклања несигурности и потенцијалне проблеме и конфликтне ситуације. </w:t>
            </w:r>
            <w:r w:rsidRPr="000F42C9">
              <w:rPr>
                <w:rStyle w:val="fontstyle01"/>
                <w:sz w:val="22"/>
                <w:szCs w:val="22"/>
                <w:lang w:val="sr-Cyrl-RS"/>
              </w:rPr>
              <w:t xml:space="preserve">Са друге старне, </w:t>
            </w:r>
            <w:r w:rsidRPr="000F42C9">
              <w:rPr>
                <w:rStyle w:val="fontstyle01"/>
                <w:sz w:val="22"/>
                <w:szCs w:val="22"/>
              </w:rPr>
              <w:t>Колб</w:t>
            </w:r>
            <w:r w:rsidRPr="000F42C9">
              <w:rPr>
                <w:rStyle w:val="fontstyle01"/>
                <w:sz w:val="22"/>
                <w:szCs w:val="22"/>
                <w:lang w:val="sr-Cyrl-RS"/>
              </w:rPr>
              <w:t>ов модел</w:t>
            </w:r>
            <w:r w:rsidRPr="000F42C9">
              <w:rPr>
                <w:rStyle w:val="fontstyle01"/>
                <w:sz w:val="22"/>
                <w:szCs w:val="22"/>
              </w:rPr>
              <w:t xml:space="preserve"> (Kolb, 1984)</w:t>
            </w:r>
            <w:r w:rsidR="000C517B">
              <w:rPr>
                <w:rStyle w:val="fontstyle01"/>
                <w:sz w:val="22"/>
                <w:szCs w:val="22"/>
                <w:lang w:val="sr-Cyrl-RS"/>
              </w:rPr>
              <w:t xml:space="preserve"> </w:t>
            </w:r>
            <w:r w:rsidRPr="000F42C9">
              <w:rPr>
                <w:rStyle w:val="fontstyle01"/>
                <w:sz w:val="22"/>
                <w:szCs w:val="22"/>
              </w:rPr>
              <w:t xml:space="preserve">истиче концепт експерименталног учења кроз трансформацију информација у знање. На крају, Зајхнеров модел </w:t>
            </w:r>
            <w:r w:rsidRPr="000F42C9">
              <w:t xml:space="preserve">(Zeichner, 1981) обухвата </w:t>
            </w:r>
            <w:r w:rsidRPr="000F42C9">
              <w:rPr>
                <w:lang w:val="sr-Cyrl-RS"/>
              </w:rPr>
              <w:t>три</w:t>
            </w:r>
            <w:r w:rsidRPr="000F42C9">
              <w:t xml:space="preserve"> нивоа рефлексије а то су технички елементи, ситуациони и институционални контекст</w:t>
            </w:r>
            <w:r w:rsidR="000C517B">
              <w:rPr>
                <w:lang w:val="sr-Cyrl-RS"/>
              </w:rPr>
              <w:t>, као</w:t>
            </w:r>
            <w:r w:rsidRPr="000F42C9">
              <w:t xml:space="preserve"> и морална и етичка питања. Заједничко наведеним теоријским полазиштима је </w:t>
            </w:r>
            <w:r w:rsidR="00771A18">
              <w:rPr>
                <w:lang w:val="sr-Cyrl-RS"/>
              </w:rPr>
              <w:t xml:space="preserve">дефинисање </w:t>
            </w:r>
            <w:r w:rsidRPr="000F42C9">
              <w:t>доживљај</w:t>
            </w:r>
            <w:r w:rsidR="00771A18">
              <w:rPr>
                <w:lang w:val="sr-Cyrl-RS"/>
              </w:rPr>
              <w:t>а</w:t>
            </w:r>
            <w:r w:rsidRPr="000F42C9">
              <w:t xml:space="preserve"> наставне праксе као сложен</w:t>
            </w:r>
            <w:r w:rsidR="00771A18">
              <w:rPr>
                <w:lang w:val="sr-Cyrl-RS"/>
              </w:rPr>
              <w:t>ог</w:t>
            </w:r>
            <w:r w:rsidRPr="000F42C9">
              <w:t xml:space="preserve"> и непредвидив</w:t>
            </w:r>
            <w:r w:rsidR="00771A18">
              <w:rPr>
                <w:lang w:val="sr-Cyrl-RS"/>
              </w:rPr>
              <w:t>ог</w:t>
            </w:r>
            <w:r w:rsidRPr="000F42C9">
              <w:t xml:space="preserve"> процес</w:t>
            </w:r>
            <w:r w:rsidR="00771A18">
              <w:rPr>
                <w:lang w:val="sr-Cyrl-RS"/>
              </w:rPr>
              <w:t>а,</w:t>
            </w:r>
            <w:r w:rsidRPr="000F42C9">
              <w:t xml:space="preserve"> и доживљај</w:t>
            </w:r>
            <w:r w:rsidR="00771A18">
              <w:rPr>
                <w:lang w:val="sr-Cyrl-RS"/>
              </w:rPr>
              <w:t>а</w:t>
            </w:r>
            <w:r w:rsidRPr="000F42C9">
              <w:t xml:space="preserve"> наставника као информисаног, компетентног стручњака који у току наставног процеса промишља и доноси одлуке о даљим корацима.</w:t>
            </w:r>
            <w:r w:rsidR="00771A18">
              <w:rPr>
                <w:lang w:val="sr-Cyrl-RS"/>
              </w:rPr>
              <w:t xml:space="preserve"> </w:t>
            </w:r>
            <w:r w:rsidRPr="000F42C9">
              <w:t>Рефлексивна</w:t>
            </w:r>
            <w:r w:rsidR="00771A18">
              <w:rPr>
                <w:lang w:val="sr-Cyrl-RS"/>
              </w:rPr>
              <w:t xml:space="preserve"> </w:t>
            </w:r>
            <w:r w:rsidRPr="000F42C9">
              <w:t xml:space="preserve">пракса је фактор који одређује успешну наставну праксу </w:t>
            </w:r>
            <w:r w:rsidRPr="000F42C9">
              <w:rPr>
                <w:rStyle w:val="fontstyle01"/>
                <w:sz w:val="22"/>
                <w:szCs w:val="22"/>
              </w:rPr>
              <w:t xml:space="preserve">(Saylag, 2012) коју прати промишљање наставника о свом деловању и учинцима. Као таква чини од наставника целоживотног ученика и истраживача </w:t>
            </w:r>
            <w:r w:rsidRPr="000F42C9">
              <w:t xml:space="preserve">(Ma, 2011), </w:t>
            </w:r>
            <w:r w:rsidRPr="000F42C9">
              <w:rPr>
                <w:lang w:val="sr-Cyrl-RS"/>
              </w:rPr>
              <w:t xml:space="preserve">тј. </w:t>
            </w:r>
            <w:r w:rsidRPr="000F42C9">
              <w:t>прилагодљивог практичара који може пратити, посматрати и радити на усавршавању својих ставова, уверења, акција. Систематско преиспитивање сопственог учења као основе за развој, посвећеност и вештине за промишљање о сопственом учењу, истраживање и тестирање теорије у пракси, спремност омогућавања другима да посматрају њихов рад и критички му приступе</w:t>
            </w:r>
            <w:r w:rsidR="00771A18">
              <w:rPr>
                <w:lang w:val="sr-Cyrl-RS"/>
              </w:rPr>
              <w:t>,</w:t>
            </w:r>
            <w:r w:rsidRPr="000F42C9">
              <w:t xml:space="preserve"> одликују наставника рефлексивног практичар (Stenhouse, 1975: 144). </w:t>
            </w:r>
            <w:r w:rsidRPr="000F42C9">
              <w:rPr>
                <w:rStyle w:val="fontstyle01"/>
                <w:sz w:val="22"/>
                <w:szCs w:val="22"/>
              </w:rPr>
              <w:t>Наставник рефлексивни практичар има способност анализирања онога што ради, мења шему својих знања, доноси одлуке о мењању своје праксе</w:t>
            </w:r>
            <w:r w:rsidRPr="000F42C9">
              <w:rPr>
                <w:rStyle w:val="fontstyle01"/>
                <w:sz w:val="22"/>
                <w:szCs w:val="22"/>
                <w:lang w:val="sr-Cyrl-RS"/>
              </w:rPr>
              <w:t xml:space="preserve">, </w:t>
            </w:r>
            <w:r w:rsidRPr="000F42C9">
              <w:rPr>
                <w:rStyle w:val="fontstyle01"/>
                <w:sz w:val="22"/>
                <w:szCs w:val="22"/>
              </w:rPr>
              <w:t>размишља о начину на који ради, размишља о разлозима за одабир начина рада, о делотворности</w:t>
            </w:r>
            <w:r w:rsidRPr="000F42C9">
              <w:rPr>
                <w:rStyle w:val="fontstyle01"/>
                <w:sz w:val="22"/>
                <w:szCs w:val="22"/>
                <w:lang w:val="sr-Cyrl-RS"/>
              </w:rPr>
              <w:t xml:space="preserve">, а </w:t>
            </w:r>
            <w:r w:rsidRPr="000F42C9">
              <w:rPr>
                <w:rStyle w:val="fontstyle01"/>
                <w:sz w:val="22"/>
                <w:szCs w:val="22"/>
              </w:rPr>
              <w:t xml:space="preserve">оваква пракса условљена је наставниковим пореклом, искуством уверењима, очекивањима, знањем, ставовима и вредностима (Navaneedhan, 2011: 331; Reiman, 1999: 598). </w:t>
            </w:r>
            <w:r w:rsidRPr="000F42C9">
              <w:t>Рефлексивна пракса помаже у решавању проблема, одлучивању, развија способности критичког мишљења. На основу издвојених теоријских полазишта, одабрали смо домене наставничког рада у оквиру којих настојимо испитати да ли наставници рефлексивно поступају. Као најважније сегменте наставничког рада за потребе истраживања</w:t>
            </w:r>
            <w:r w:rsidR="00771A18">
              <w:rPr>
                <w:lang w:val="sr-Cyrl-RS"/>
              </w:rPr>
              <w:t xml:space="preserve"> </w:t>
            </w:r>
            <w:r w:rsidRPr="000F42C9">
              <w:t>рефлексивног поступања издвајамо: тенденцију ка континуираном самоанализирању и самопраћењу, отвореност наставника за сагледавање ситуације из различитих углова, трагање за елементима добре праксе, отвореност наставника за испробавањем другачијих начин</w:t>
            </w:r>
            <w:r w:rsidRPr="000F42C9">
              <w:rPr>
                <w:lang w:val="sr-Cyrl-RS"/>
              </w:rPr>
              <w:t>а</w:t>
            </w:r>
            <w:r w:rsidRPr="000F42C9">
              <w:t xml:space="preserve"> рада од устаљених, отвореност наставника за размену искустава са колегама, спремност наставника за анализу уверења на којима се темеље њихови поступци, спремност наставника да промене претходно постављени план у зависности од начина на који ученици реагују током часа, отвореност за спровођење акционих истраживања и наставникова пракса вођења рефлексивног дневника. </w:t>
            </w:r>
            <w:r w:rsidRPr="000F42C9">
              <w:rPr>
                <w:lang w:val="sr-Cyrl-RS"/>
              </w:rPr>
              <w:t xml:space="preserve">Наставник </w:t>
            </w:r>
            <w:r w:rsidRPr="000F42C9">
              <w:t xml:space="preserve">не може предупредити тешкоће и превазићи изазове без осврта на професионалну прошлост, без критичког сагледавања сопственог рада, и резимирања </w:t>
            </w:r>
            <w:r w:rsidR="00771A18">
              <w:rPr>
                <w:lang w:val="sr-Cyrl-RS"/>
              </w:rPr>
              <w:t xml:space="preserve">његових </w:t>
            </w:r>
            <w:r w:rsidRPr="000F42C9">
              <w:t xml:space="preserve">позитивних и негативних ефеката. Потреба за рефлексивним приступом од стране наставника указује на потребу за развој ставова и навика која ће </w:t>
            </w:r>
            <w:r w:rsidRPr="000F42C9">
              <w:rPr>
                <w:lang w:val="sr-Cyrl-RS"/>
              </w:rPr>
              <w:t>му</w:t>
            </w:r>
            <w:r w:rsidRPr="000F42C9">
              <w:t xml:space="preserve"> омогућити да у току рада ослушне себе и друге актере у учионици и ван ње (Adler, 1991). </w:t>
            </w:r>
            <w:r w:rsidRPr="000F42C9">
              <w:rPr>
                <w:rStyle w:val="fontstyle01"/>
                <w:sz w:val="22"/>
                <w:szCs w:val="22"/>
              </w:rPr>
              <w:t>Наставник је</w:t>
            </w:r>
            <w:r w:rsidRPr="000F42C9">
              <w:rPr>
                <w:rStyle w:val="fontstyle01"/>
                <w:sz w:val="22"/>
                <w:szCs w:val="22"/>
                <w:lang w:val="sr-Cyrl-RS"/>
              </w:rPr>
              <w:t>сте</w:t>
            </w:r>
            <w:r w:rsidRPr="000F42C9">
              <w:rPr>
                <w:rStyle w:val="fontstyle01"/>
                <w:sz w:val="22"/>
                <w:szCs w:val="22"/>
              </w:rPr>
              <w:t xml:space="preserve"> најмоћнији, најтрајнији и најефикаснији носилац образовних промена</w:t>
            </w:r>
            <w:r w:rsidRPr="000F42C9">
              <w:rPr>
                <w:rStyle w:val="fontstyle01"/>
                <w:sz w:val="22"/>
                <w:szCs w:val="22"/>
                <w:lang w:val="sr-Cyrl-RS"/>
              </w:rPr>
              <w:t>, али к</w:t>
            </w:r>
            <w:r w:rsidRPr="000F42C9">
              <w:rPr>
                <w:rStyle w:val="fontstyle01"/>
                <w:sz w:val="22"/>
                <w:szCs w:val="22"/>
              </w:rPr>
              <w:t xml:space="preserve">валитет и ефикасност образовних промена зависи од тога колико је наставник поуздан и вешт, </w:t>
            </w:r>
            <w:r w:rsidR="00C20BFD">
              <w:rPr>
                <w:rStyle w:val="fontstyle01"/>
                <w:sz w:val="22"/>
                <w:szCs w:val="22"/>
                <w:lang w:val="sr-Cyrl-RS"/>
              </w:rPr>
              <w:t xml:space="preserve">као и </w:t>
            </w:r>
            <w:r w:rsidRPr="000F42C9">
              <w:rPr>
                <w:rStyle w:val="fontstyle01"/>
                <w:sz w:val="22"/>
                <w:szCs w:val="22"/>
              </w:rPr>
              <w:t>од његових личних капацитета за прилагодљивост и рефлексиван приступ (Sellars, 2012). Оспособљеност наставника, вешт</w:t>
            </w:r>
            <w:r w:rsidR="00C20BFD">
              <w:rPr>
                <w:rStyle w:val="fontstyle01"/>
                <w:sz w:val="22"/>
                <w:szCs w:val="22"/>
                <w:lang w:val="sr-Cyrl-RS"/>
              </w:rPr>
              <w:t>ина</w:t>
            </w:r>
            <w:r w:rsidRPr="000F42C9">
              <w:rPr>
                <w:rStyle w:val="fontstyle01"/>
                <w:sz w:val="22"/>
                <w:szCs w:val="22"/>
              </w:rPr>
              <w:t xml:space="preserve"> и прилагодљивост променама зависе од компетентности наставника. Успешно овладавање релевантним знањем и вештинама не гарантује успешно деловање у комплексним окружењима, те се од појединца очекује да поседује могућност одабира расположивих знања и вештина у циљу делотворног понашања (Ferguson-Hessler, 1989;Westera, 2001).</w:t>
            </w:r>
            <w:r w:rsidRPr="000F42C9">
              <w:rPr>
                <w:rStyle w:val="fontstyle01"/>
                <w:sz w:val="22"/>
                <w:szCs w:val="22"/>
                <w:lang w:val="sr-Cyrl-RS"/>
              </w:rPr>
              <w:t xml:space="preserve"> На основу овога закључујемо да је наставник рефлексивни практичар наставник са компетенцијама која омогућава ефикасно коришћење знања и вештина у сложеном контексту. Зато компетенције обухватају менталну компоненту (мисао) и бихевиоралну компоненту (деловање), понашање које је увек у вези са свесним размишљањем. У образовању постоје два значења појма компетенције. Прво, теоријско значење односи се на когнитивну структуру која олакшава одређено понашање и друго, оперативно значење по којем компетенције покривају широк спектар вештина и понашања вишег реда који чине способност суочавања са сложеним, непредвидим ситуацијама. Оперативна дефиниција укључује знање, вештине, ставове, метакогницију и стратешко размишљање уз претпоставку свесног и намерног одлучивања (Wестера, 2001). За потребе овог истраживања</w:t>
            </w:r>
            <w:r w:rsidR="00A245FF">
              <w:rPr>
                <w:rStyle w:val="fontstyle01"/>
                <w:sz w:val="22"/>
                <w:szCs w:val="22"/>
                <w:lang w:val="sr-Cyrl-RS"/>
              </w:rPr>
              <w:t xml:space="preserve"> кандидаткиња се </w:t>
            </w:r>
            <w:r w:rsidRPr="000F42C9">
              <w:rPr>
                <w:rStyle w:val="fontstyle01"/>
                <w:sz w:val="22"/>
                <w:szCs w:val="22"/>
                <w:lang w:val="sr-Cyrl-RS"/>
              </w:rPr>
              <w:t xml:space="preserve"> усмерил</w:t>
            </w:r>
            <w:r w:rsidR="00A245FF">
              <w:rPr>
                <w:rStyle w:val="fontstyle01"/>
                <w:sz w:val="22"/>
                <w:szCs w:val="22"/>
                <w:lang w:val="sr-Cyrl-RS"/>
              </w:rPr>
              <w:t>а</w:t>
            </w:r>
            <w:r w:rsidRPr="000F42C9">
              <w:rPr>
                <w:rStyle w:val="fontstyle01"/>
                <w:sz w:val="22"/>
                <w:szCs w:val="22"/>
                <w:lang w:val="sr-Cyrl-RS"/>
              </w:rPr>
              <w:t xml:space="preserve"> на</w:t>
            </w:r>
            <w:r w:rsidRPr="000F42C9">
              <w:rPr>
                <w:rStyle w:val="fontstyle01"/>
                <w:sz w:val="22"/>
                <w:szCs w:val="22"/>
              </w:rPr>
              <w:t xml:space="preserve"> дигиталн</w:t>
            </w:r>
            <w:r w:rsidRPr="000F42C9">
              <w:rPr>
                <w:rStyle w:val="fontstyle01"/>
                <w:sz w:val="22"/>
                <w:szCs w:val="22"/>
                <w:lang w:val="sr-Cyrl-RS"/>
              </w:rPr>
              <w:t>у</w:t>
            </w:r>
            <w:r w:rsidRPr="000F42C9">
              <w:rPr>
                <w:rStyle w:val="fontstyle01"/>
                <w:sz w:val="22"/>
                <w:szCs w:val="22"/>
              </w:rPr>
              <w:t xml:space="preserve"> компетентност наставника</w:t>
            </w:r>
            <w:r w:rsidRPr="000F42C9">
              <w:rPr>
                <w:rStyle w:val="fontstyle01"/>
                <w:sz w:val="22"/>
                <w:szCs w:val="22"/>
                <w:lang w:val="sr-Cyrl-RS"/>
              </w:rPr>
              <w:t>.</w:t>
            </w:r>
            <w:r w:rsidR="003C6238">
              <w:rPr>
                <w:rStyle w:val="fontstyle01"/>
                <w:sz w:val="22"/>
                <w:szCs w:val="22"/>
                <w:lang w:val="sr-Cyrl-RS"/>
              </w:rPr>
              <w:t xml:space="preserve"> </w:t>
            </w:r>
            <w:r w:rsidRPr="000F42C9">
              <w:rPr>
                <w:rStyle w:val="fontstyle01"/>
                <w:sz w:val="22"/>
                <w:szCs w:val="22"/>
                <w:lang w:val="sr-Cyrl-RS"/>
              </w:rPr>
              <w:t>И</w:t>
            </w:r>
            <w:r w:rsidRPr="000F42C9">
              <w:rPr>
                <w:rStyle w:val="fontstyle01"/>
                <w:sz w:val="22"/>
                <w:szCs w:val="22"/>
              </w:rPr>
              <w:t>з бројних релевантних података који говоре у прилог дигиталној компетентности, издво</w:t>
            </w:r>
            <w:r w:rsidR="00A245FF">
              <w:rPr>
                <w:rStyle w:val="fontstyle01"/>
                <w:sz w:val="22"/>
                <w:szCs w:val="22"/>
                <w:lang w:val="sr-Cyrl-RS"/>
              </w:rPr>
              <w:t>јена</w:t>
            </w:r>
            <w:r w:rsidRPr="000F42C9">
              <w:rPr>
                <w:rStyle w:val="fontstyle01"/>
                <w:sz w:val="22"/>
                <w:szCs w:val="22"/>
              </w:rPr>
              <w:t xml:space="preserve"> с</w:t>
            </w:r>
            <w:r w:rsidR="00A245FF">
              <w:rPr>
                <w:rStyle w:val="fontstyle01"/>
                <w:sz w:val="22"/>
                <w:szCs w:val="22"/>
                <w:lang w:val="sr-Cyrl-RS"/>
              </w:rPr>
              <w:t>у</w:t>
            </w:r>
            <w:r w:rsidRPr="000F42C9">
              <w:rPr>
                <w:rStyle w:val="fontstyle01"/>
                <w:sz w:val="22"/>
                <w:szCs w:val="22"/>
              </w:rPr>
              <w:t xml:space="preserve"> одређења која се чине најзначајнијим. Дигитална компетентност у основи</w:t>
            </w:r>
            <w:r w:rsidRPr="000F42C9">
              <w:rPr>
                <w:rStyle w:val="fontstyle01"/>
                <w:sz w:val="22"/>
                <w:szCs w:val="22"/>
                <w:lang w:val="sr-Cyrl-RS"/>
              </w:rPr>
              <w:t xml:space="preserve"> обухвата</w:t>
            </w:r>
            <w:r w:rsidRPr="000F42C9">
              <w:rPr>
                <w:rStyle w:val="fontstyle01"/>
                <w:sz w:val="22"/>
                <w:szCs w:val="22"/>
              </w:rPr>
              <w:t xml:space="preserve"> употребу дигиталних технологија, медија и пренос информација. Синоними за дигиталну компетентност који се у литератури најчешће срећу су дигитална писменост, електронска писменост, електронске вештине, </w:t>
            </w:r>
            <w:r w:rsidRPr="000F42C9">
              <w:rPr>
                <w:rStyle w:val="fontstyle01"/>
                <w:sz w:val="22"/>
                <w:szCs w:val="22"/>
              </w:rPr>
              <w:lastRenderedPageBreak/>
              <w:t>употреба ИКТ-а (инфомационо-комуникационих технологија), електронске компетенције</w:t>
            </w:r>
            <w:r w:rsidRPr="000F42C9">
              <w:t xml:space="preserve"> (Ferrari, Punie &amp; Redecker, 2012). Бројна је литература која одређује појам, значај и нивое дигиталних компетенција, начине за њихово стицање и развој.  За потребе истраживања </w:t>
            </w:r>
            <w:r w:rsidR="00A245FF">
              <w:rPr>
                <w:lang w:val="sr-Cyrl-RS"/>
              </w:rPr>
              <w:t>кандидаткиња се фокусирала на</w:t>
            </w:r>
            <w:r w:rsidRPr="000F42C9">
              <w:t xml:space="preserve"> компетенције за наставничку професију из Оквира дигиталних компетенција </w:t>
            </w:r>
            <w:r w:rsidRPr="000F42C9">
              <w:rPr>
                <w:color w:val="231F20"/>
              </w:rPr>
              <w:t>(</w:t>
            </w:r>
            <w:r w:rsidRPr="000F42C9">
              <w:t xml:space="preserve">Okvir digitalnih kompetencija, </w:t>
            </w:r>
            <w:r w:rsidRPr="000F42C9">
              <w:rPr>
                <w:color w:val="231F20"/>
              </w:rPr>
              <w:t>2019). Дигиталне компетенције у наведеном документу категорисане су на следећи начин:</w:t>
            </w:r>
          </w:p>
          <w:p w14:paraId="244822B7" w14:textId="77777777" w:rsidR="00830DB7" w:rsidRPr="000F42C9" w:rsidRDefault="00830DB7" w:rsidP="00830DB7">
            <w:pPr>
              <w:rPr>
                <w:color w:val="231F20"/>
              </w:rPr>
            </w:pPr>
            <w:r w:rsidRPr="000F42C9">
              <w:rPr>
                <w:color w:val="231F20"/>
              </w:rPr>
              <w:t>1. Дигитално окружење</w:t>
            </w:r>
            <w:r w:rsidR="003C6238">
              <w:rPr>
                <w:color w:val="231F20"/>
                <w:lang w:val="sr-Cyrl-RS"/>
              </w:rPr>
              <w:t xml:space="preserve"> </w:t>
            </w:r>
            <w:r w:rsidRPr="000F42C9">
              <w:rPr>
                <w:color w:val="231F20"/>
              </w:rPr>
              <w:t>- обухвата компетенције које чине предуслов за коришћење потенцијала дигиталних технологија у што већој мери за изградњу успешног грађанског друштва.</w:t>
            </w:r>
          </w:p>
          <w:p w14:paraId="7E688917" w14:textId="77777777" w:rsidR="00830DB7" w:rsidRPr="000F42C9" w:rsidRDefault="00830DB7" w:rsidP="00830DB7">
            <w:pPr>
              <w:rPr>
                <w:color w:val="231F20"/>
              </w:rPr>
            </w:pPr>
            <w:r w:rsidRPr="000F42C9">
              <w:rPr>
                <w:color w:val="231F20"/>
              </w:rPr>
              <w:t>2. Дигитални ресурси</w:t>
            </w:r>
            <w:r w:rsidR="003C6238">
              <w:rPr>
                <w:color w:val="231F20"/>
                <w:lang w:val="sr-Cyrl-RS"/>
              </w:rPr>
              <w:t xml:space="preserve"> </w:t>
            </w:r>
            <w:r w:rsidRPr="000F42C9">
              <w:rPr>
                <w:color w:val="231F20"/>
              </w:rPr>
              <w:t>- односи се на компетенције које су потребне како би се одговорно и ефикасно користили дигитални ресурси за потребе наставе и учења.</w:t>
            </w:r>
          </w:p>
          <w:p w14:paraId="0B60238E" w14:textId="77777777" w:rsidR="00830DB7" w:rsidRPr="000F42C9" w:rsidRDefault="00830DB7" w:rsidP="00830DB7">
            <w:pPr>
              <w:rPr>
                <w:color w:val="231F20"/>
              </w:rPr>
            </w:pPr>
            <w:r w:rsidRPr="000F42C9">
              <w:rPr>
                <w:color w:val="231F20"/>
              </w:rPr>
              <w:t>3. Настава и учење</w:t>
            </w:r>
            <w:r w:rsidR="003C6238">
              <w:rPr>
                <w:color w:val="231F20"/>
                <w:lang w:val="sr-Cyrl-RS"/>
              </w:rPr>
              <w:t xml:space="preserve"> </w:t>
            </w:r>
            <w:r w:rsidRPr="000F42C9">
              <w:rPr>
                <w:color w:val="231F20"/>
              </w:rPr>
              <w:t>- обухвата знања и вештине које су кључне за планирање и креирање аутентичног и стимулативног дигиталног окружења за учење које уважава различитост ученика и доприноси њиховој непосредној интеракцији.</w:t>
            </w:r>
          </w:p>
          <w:p w14:paraId="0240BD28" w14:textId="77777777" w:rsidR="00830DB7" w:rsidRPr="000F42C9" w:rsidRDefault="00830DB7" w:rsidP="00830DB7">
            <w:pPr>
              <w:rPr>
                <w:color w:val="231F20"/>
              </w:rPr>
            </w:pPr>
            <w:r w:rsidRPr="000F42C9">
              <w:rPr>
                <w:color w:val="231F20"/>
              </w:rPr>
              <w:t>4. Оцењивање и праћење напретка ученика</w:t>
            </w:r>
            <w:r w:rsidR="003C6238">
              <w:rPr>
                <w:color w:val="231F20"/>
                <w:lang w:val="sr-Cyrl-RS"/>
              </w:rPr>
              <w:t xml:space="preserve"> </w:t>
            </w:r>
            <w:r w:rsidRPr="000F42C9">
              <w:rPr>
                <w:color w:val="231F20"/>
              </w:rPr>
              <w:t>- односи се на савремене приступе оцењивању и праћењу напретка ученика који доприносе повећању одговорности за самостално учење, развоју саморегулације и праћењу личног развоја у контексту целоживотног образовања.</w:t>
            </w:r>
          </w:p>
          <w:p w14:paraId="08A54E59" w14:textId="77777777" w:rsidR="00830DB7" w:rsidRPr="000F42C9" w:rsidRDefault="00830DB7" w:rsidP="00830DB7">
            <w:pPr>
              <w:rPr>
                <w:color w:val="231F20"/>
              </w:rPr>
            </w:pPr>
            <w:r w:rsidRPr="000F42C9">
              <w:rPr>
                <w:color w:val="231F20"/>
              </w:rPr>
              <w:t>5. Подршка ученицима</w:t>
            </w:r>
            <w:r w:rsidR="003C6238">
              <w:rPr>
                <w:color w:val="231F20"/>
                <w:lang w:val="sr-Cyrl-RS"/>
              </w:rPr>
              <w:t xml:space="preserve"> </w:t>
            </w:r>
            <w:r w:rsidRPr="000F42C9">
              <w:rPr>
                <w:color w:val="231F20"/>
              </w:rPr>
              <w:t>- односи се на принцип праведности у образовању и истиче потенцијал дигиталних технологија за рад са ученицима којима је потребна додатна помоћ при учењу.</w:t>
            </w:r>
          </w:p>
          <w:p w14:paraId="48BB6342" w14:textId="77777777" w:rsidR="00830DB7" w:rsidRPr="000F42C9" w:rsidRDefault="00830DB7" w:rsidP="00830DB7">
            <w:pPr>
              <w:rPr>
                <w:color w:val="231F20"/>
              </w:rPr>
            </w:pPr>
            <w:r w:rsidRPr="000F42C9">
              <w:rPr>
                <w:color w:val="231F20"/>
              </w:rPr>
              <w:t>6. Професионални ангажман</w:t>
            </w:r>
            <w:r w:rsidR="003C6238">
              <w:rPr>
                <w:color w:val="231F20"/>
                <w:lang w:val="sr-Cyrl-RS"/>
              </w:rPr>
              <w:t xml:space="preserve"> </w:t>
            </w:r>
            <w:r w:rsidRPr="000F42C9">
              <w:rPr>
                <w:color w:val="231F20"/>
              </w:rPr>
              <w:t>- обухвата компетенције у контексту професионалног ангажмана наставника.</w:t>
            </w:r>
          </w:p>
          <w:p w14:paraId="57DBAAEA" w14:textId="77777777" w:rsidR="00830DB7" w:rsidRPr="000F42C9" w:rsidRDefault="00830DB7" w:rsidP="00830DB7">
            <w:r w:rsidRPr="000F42C9">
              <w:rPr>
                <w:color w:val="231F20"/>
              </w:rPr>
              <w:t>Иако је термин дигитална компетенција првобитно употребљен још у прошлом веку, има неоспорну тежину, значај и непрекидну нит иновативности као своје одлике. Разлог томе је промена, развој и напредак дигиталне технологије. Способност коришћења дигиталне технологије огледа се у тражењу информација, решавању проблема и сарадничком стварању знања што су заправо аспекти дигиталне компетентности. Имајући у виду образовни систем данашњице, истакнута је недовољна развијеност или чак непоседовање дигиталних компетенција од стране наставника као озбиљан недостатак, хендикеп који је највише изражен у области образовања, у времену учионица пуних дигитално писмених ученика</w:t>
            </w:r>
            <w:r w:rsidRPr="000F42C9">
              <w:t xml:space="preserve"> (Jones &amp; Flanningan, 2006: 8).</w:t>
            </w:r>
          </w:p>
          <w:p w14:paraId="2138BCA9" w14:textId="2A9438D7" w:rsidR="00830DB7" w:rsidRPr="000F42C9" w:rsidRDefault="00830DB7" w:rsidP="00830DB7">
            <w:r w:rsidRPr="000F42C9">
              <w:t>Анализом досадашњих истраживања не</w:t>
            </w:r>
            <w:r w:rsidR="00A245FF">
              <w:rPr>
                <w:lang w:val="sr-Cyrl-RS"/>
              </w:rPr>
              <w:t>ма</w:t>
            </w:r>
            <w:r w:rsidRPr="000F42C9">
              <w:t xml:space="preserve"> податак</w:t>
            </w:r>
            <w:r w:rsidR="00A245FF">
              <w:rPr>
                <w:lang w:val="sr-Cyrl-RS"/>
              </w:rPr>
              <w:t>а</w:t>
            </w:r>
            <w:r w:rsidRPr="000F42C9">
              <w:t xml:space="preserve"> који говор</w:t>
            </w:r>
            <w:r w:rsidR="00A245FF">
              <w:rPr>
                <w:lang w:val="sr-Cyrl-RS"/>
              </w:rPr>
              <w:t>е</w:t>
            </w:r>
            <w:r w:rsidRPr="000F42C9">
              <w:t xml:space="preserve"> у прилог повезаности рефлексивног приступа и дигиталне компетентности наставника, што указује на оригиналност проблема истраживања. Зато за потребе овог истраживања полазимо од питања да ли постоји повезаност између рефлексивног поступања наставника и његове дигиталне компетентности. Истраживање има три главне идеје: испитати да ли наставници рефлексивно поступају; испитати дигиталну компетентност наставника; и испитати да ли постоји статистички значајна повезаност између рефлексивности и дигиталне компетентности наставника. Настојање </w:t>
            </w:r>
            <w:r w:rsidR="00A245FF">
              <w:rPr>
                <w:lang w:val="sr-Cyrl-RS"/>
              </w:rPr>
              <w:t>за</w:t>
            </w:r>
            <w:r w:rsidRPr="000F42C9">
              <w:t xml:space="preserve"> на</w:t>
            </w:r>
            <w:r w:rsidR="00A245FF">
              <w:rPr>
                <w:lang w:val="sr-Cyrl-RS"/>
              </w:rPr>
              <w:t>лажење</w:t>
            </w:r>
            <w:r w:rsidRPr="000F42C9">
              <w:t xml:space="preserve"> спону</w:t>
            </w:r>
            <w:r w:rsidR="00586970">
              <w:rPr>
                <w:lang w:val="sr-Cyrl-RS"/>
              </w:rPr>
              <w:t>е</w:t>
            </w:r>
            <w:r w:rsidRPr="000F42C9">
              <w:t xml:space="preserve"> између наставниковог рефлексивног поступања и дигиталне компетентности </w:t>
            </w:r>
            <w:r w:rsidRPr="000F42C9">
              <w:rPr>
                <w:lang w:val="sr-Cyrl-RS"/>
              </w:rPr>
              <w:t>суштина</w:t>
            </w:r>
            <w:r w:rsidR="00586970">
              <w:rPr>
                <w:lang w:val="sr-Cyrl-RS"/>
              </w:rPr>
              <w:t xml:space="preserve"> је</w:t>
            </w:r>
            <w:r w:rsidR="00DA59FA">
              <w:rPr>
                <w:lang w:val="sr-Cyrl-RS"/>
              </w:rPr>
              <w:t xml:space="preserve"> </w:t>
            </w:r>
            <w:r w:rsidRPr="000F42C9">
              <w:t>овог истраживања. Проблем истраживања формулисан је на следећи начин: Да ли постоји повезаност између рефлексивног поступања и дигиталне компетентности наставника?</w:t>
            </w:r>
          </w:p>
          <w:p w14:paraId="18AA5738" w14:textId="133ACE9F" w:rsidR="00EA0590" w:rsidRPr="0082465B" w:rsidRDefault="00830DB7" w:rsidP="00830DB7">
            <w:pPr>
              <w:rPr>
                <w:lang w:val="ru-RU"/>
              </w:rPr>
            </w:pPr>
            <w:r w:rsidRPr="00D1085E">
              <w:t>Ослањајући се на постојеће теоријске податке</w:t>
            </w:r>
            <w:r w:rsidR="00586970">
              <w:rPr>
                <w:lang w:val="sr-Cyrl-RS"/>
              </w:rPr>
              <w:t xml:space="preserve"> и постулате,</w:t>
            </w:r>
            <w:r w:rsidRPr="00D1085E">
              <w:t xml:space="preserve"> а на основу дефинисаног проблема, предмет истраживања формулисан је на следећи начин: Рефлексивна пракса и дигитална компетентност наставника.</w:t>
            </w:r>
          </w:p>
        </w:tc>
      </w:tr>
      <w:tr w:rsidR="00EA0590" w:rsidRPr="0082465B" w14:paraId="7E8A7B28" w14:textId="77777777" w:rsidTr="005F69BB">
        <w:trPr>
          <w:trHeight w:val="227"/>
          <w:jc w:val="center"/>
        </w:trPr>
        <w:tc>
          <w:tcPr>
            <w:tcW w:w="371" w:type="dxa"/>
            <w:shd w:val="clear" w:color="auto" w:fill="F3F3F3"/>
            <w:vAlign w:val="center"/>
          </w:tcPr>
          <w:p w14:paraId="1E133EA0" w14:textId="77777777" w:rsidR="00EA0590" w:rsidRPr="0082465B" w:rsidRDefault="00EA0590" w:rsidP="008E1439">
            <w:pPr>
              <w:jc w:val="center"/>
              <w:rPr>
                <w:rFonts w:eastAsia="TimesNewRomanPS-BoldMT"/>
                <w:lang w:val="sr-Cyrl-CS"/>
              </w:rPr>
            </w:pPr>
            <w:r w:rsidRPr="0082465B">
              <w:rPr>
                <w:rFonts w:eastAsia="TimesNewRomanPS-BoldMT"/>
                <w:lang w:val="sr-Cyrl-CS"/>
              </w:rPr>
              <w:lastRenderedPageBreak/>
              <w:t>2.</w:t>
            </w:r>
          </w:p>
        </w:tc>
        <w:tc>
          <w:tcPr>
            <w:tcW w:w="10420" w:type="dxa"/>
            <w:gridSpan w:val="9"/>
            <w:shd w:val="clear" w:color="auto" w:fill="F3F3F3"/>
            <w:vAlign w:val="center"/>
          </w:tcPr>
          <w:p w14:paraId="63563DB7" w14:textId="77777777" w:rsidR="00EA0590" w:rsidRPr="0082465B" w:rsidRDefault="00EA0590" w:rsidP="008E1439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Усклађеност проблематике са коришћеном литературом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200 речи)</w:t>
            </w:r>
          </w:p>
        </w:tc>
      </w:tr>
      <w:tr w:rsidR="00EA0590" w:rsidRPr="0082465B" w14:paraId="1C58D8FC" w14:textId="77777777" w:rsidTr="005F69BB">
        <w:trPr>
          <w:trHeight w:val="567"/>
          <w:jc w:val="center"/>
        </w:trPr>
        <w:tc>
          <w:tcPr>
            <w:tcW w:w="10791" w:type="dxa"/>
            <w:gridSpan w:val="10"/>
          </w:tcPr>
          <w:p w14:paraId="21A39A08" w14:textId="77777777" w:rsidR="00EA0590" w:rsidRPr="0082465B" w:rsidRDefault="00830DB7" w:rsidP="00D454B6">
            <w:pPr>
              <w:rPr>
                <w:lang w:val="ru-RU"/>
              </w:rPr>
            </w:pPr>
            <w:r w:rsidRPr="0085067D">
              <w:rPr>
                <w:lang w:val="sr-Cyrl-RS"/>
              </w:rPr>
              <w:t xml:space="preserve">Кандидаткиња </w:t>
            </w:r>
            <w:r w:rsidR="000F42C9" w:rsidRPr="0085067D">
              <w:rPr>
                <w:lang w:val="sr-Cyrl-RS"/>
              </w:rPr>
              <w:t>Александра Милановић</w:t>
            </w:r>
            <w:r w:rsidRPr="0085067D">
              <w:rPr>
                <w:lang w:val="sr-Cyrl-RS"/>
              </w:rPr>
              <w:t xml:space="preserve">, у пријави је навела списак како домаће, тако и иностране литературе која је у потпуности усклађена са предложеном темом докторске дисертације и облашћу коју жели да истражује. </w:t>
            </w:r>
            <w:r w:rsidR="00D454B6" w:rsidRPr="0085067D">
              <w:rPr>
                <w:lang w:val="sr-Cyrl-RS"/>
              </w:rPr>
              <w:t>Приложен предлог литературе омогућава темељан приступ рефлексивној пракси и дигиталној компетентности наставника као два изузетно битна сегмента на</w:t>
            </w:r>
            <w:r w:rsidR="00624511">
              <w:rPr>
                <w:lang w:val="sr-Cyrl-RS"/>
              </w:rPr>
              <w:t>с</w:t>
            </w:r>
            <w:r w:rsidR="00D454B6" w:rsidRPr="0085067D">
              <w:rPr>
                <w:lang w:val="sr-Cyrl-RS"/>
              </w:rPr>
              <w:t>тавничког позива.</w:t>
            </w:r>
          </w:p>
        </w:tc>
      </w:tr>
      <w:tr w:rsidR="00EA0590" w:rsidRPr="0082465B" w14:paraId="581E8723" w14:textId="77777777" w:rsidTr="005F69BB">
        <w:trPr>
          <w:trHeight w:val="227"/>
          <w:jc w:val="center"/>
        </w:trPr>
        <w:tc>
          <w:tcPr>
            <w:tcW w:w="371" w:type="dxa"/>
            <w:shd w:val="clear" w:color="auto" w:fill="F3F3F3"/>
            <w:vAlign w:val="center"/>
          </w:tcPr>
          <w:p w14:paraId="1788F83E" w14:textId="77777777" w:rsidR="00EA0590" w:rsidRPr="0082465B" w:rsidRDefault="00EA0590" w:rsidP="008E1439">
            <w:pPr>
              <w:jc w:val="center"/>
              <w:rPr>
                <w:rFonts w:eastAsia="TimesNewRomanPS-BoldMT"/>
                <w:lang w:val="sr-Cyrl-CS"/>
              </w:rPr>
            </w:pPr>
            <w:r w:rsidRPr="0082465B">
              <w:rPr>
                <w:rFonts w:eastAsia="TimesNewRomanPS-BoldMT"/>
                <w:lang w:val="sr-Cyrl-CS"/>
              </w:rPr>
              <w:t>3.</w:t>
            </w:r>
          </w:p>
        </w:tc>
        <w:tc>
          <w:tcPr>
            <w:tcW w:w="10420" w:type="dxa"/>
            <w:gridSpan w:val="9"/>
            <w:shd w:val="clear" w:color="auto" w:fill="F3F3F3"/>
            <w:vAlign w:val="center"/>
          </w:tcPr>
          <w:p w14:paraId="7CA81AF1" w14:textId="77777777" w:rsidR="00EA0590" w:rsidRPr="0082465B" w:rsidRDefault="00EA0590" w:rsidP="008E1439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Циљеви научног истраживања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500 речи)</w:t>
            </w:r>
          </w:p>
        </w:tc>
      </w:tr>
      <w:tr w:rsidR="00EA0590" w:rsidRPr="0082465B" w14:paraId="066E4674" w14:textId="77777777" w:rsidTr="005F69BB">
        <w:trPr>
          <w:trHeight w:val="567"/>
          <w:jc w:val="center"/>
        </w:trPr>
        <w:tc>
          <w:tcPr>
            <w:tcW w:w="10791" w:type="dxa"/>
            <w:gridSpan w:val="10"/>
          </w:tcPr>
          <w:p w14:paraId="26331FA9" w14:textId="3FBA9F2C" w:rsidR="00830DB7" w:rsidRPr="00DB607F" w:rsidRDefault="00830DB7" w:rsidP="00830DB7">
            <w:r w:rsidRPr="00DB607F">
              <w:t xml:space="preserve">Циљ истраживања </w:t>
            </w:r>
            <w:r w:rsidR="00586970">
              <w:rPr>
                <w:lang w:val="sr-Cyrl-RS"/>
              </w:rPr>
              <w:t>усмерен је на то да с</w:t>
            </w:r>
            <w:r w:rsidRPr="00DB607F">
              <w:t>е утврди повезаност између рефлексивног посту</w:t>
            </w:r>
            <w:r>
              <w:t xml:space="preserve">пања и дигиталне компетентности </w:t>
            </w:r>
            <w:r w:rsidRPr="00DB607F">
              <w:t xml:space="preserve">наставника. Општи циљ истраживања </w:t>
            </w:r>
            <w:r w:rsidR="00586970">
              <w:rPr>
                <w:lang w:val="sr-Cyrl-RS"/>
              </w:rPr>
              <w:t xml:space="preserve">постављен је </w:t>
            </w:r>
            <w:r w:rsidRPr="00DB607F">
              <w:t>на три нивоа:</w:t>
            </w:r>
          </w:p>
          <w:p w14:paraId="125256FC" w14:textId="77777777" w:rsidR="00830DB7" w:rsidRPr="00DB607F" w:rsidRDefault="00830DB7" w:rsidP="00830DB7">
            <w:r w:rsidRPr="00DB607F">
              <w:t>Теоријски</w:t>
            </w:r>
            <w:r>
              <w:rPr>
                <w:lang w:val="sr-Cyrl-RS"/>
              </w:rPr>
              <w:t xml:space="preserve"> циљ усмерен је на то да се </w:t>
            </w:r>
            <w:r w:rsidRPr="00DB607F">
              <w:t>прегледом и анализом релевантне литературе сагледа</w:t>
            </w:r>
            <w:r>
              <w:rPr>
                <w:lang w:val="sr-Cyrl-RS"/>
              </w:rPr>
              <w:t>ју</w:t>
            </w:r>
            <w:r w:rsidRPr="00DB607F">
              <w:t xml:space="preserve"> значајн</w:t>
            </w:r>
            <w:r>
              <w:rPr>
                <w:lang w:val="sr-Cyrl-RS"/>
              </w:rPr>
              <w:t>и</w:t>
            </w:r>
            <w:r w:rsidRPr="00DB607F">
              <w:t xml:space="preserve"> теоријск</w:t>
            </w:r>
            <w:r>
              <w:rPr>
                <w:lang w:val="sr-Cyrl-RS"/>
              </w:rPr>
              <w:t>и</w:t>
            </w:r>
            <w:r w:rsidRPr="00DB607F">
              <w:t xml:space="preserve"> и методолошк</w:t>
            </w:r>
            <w:r>
              <w:rPr>
                <w:lang w:val="sr-Cyrl-RS"/>
              </w:rPr>
              <w:t>и</w:t>
            </w:r>
            <w:r w:rsidRPr="00DB607F">
              <w:t xml:space="preserve"> аспект</w:t>
            </w:r>
            <w:r>
              <w:rPr>
                <w:lang w:val="sr-Cyrl-RS"/>
              </w:rPr>
              <w:t>и</w:t>
            </w:r>
            <w:r w:rsidRPr="00DB607F">
              <w:t xml:space="preserve"> везан</w:t>
            </w:r>
            <w:r>
              <w:rPr>
                <w:lang w:val="sr-Cyrl-RS"/>
              </w:rPr>
              <w:t>и</w:t>
            </w:r>
            <w:r w:rsidRPr="00DB607F">
              <w:t xml:space="preserve"> за рефлексивну праксу и дигиталну компетентност наставника</w:t>
            </w:r>
            <w:r>
              <w:rPr>
                <w:lang w:val="sr-Cyrl-RS"/>
              </w:rPr>
              <w:t xml:space="preserve">. Посебан акценат усмерен је на анализу </w:t>
            </w:r>
            <w:r w:rsidRPr="00DB607F">
              <w:t>теоријск</w:t>
            </w:r>
            <w:r>
              <w:rPr>
                <w:lang w:val="sr-Cyrl-RS"/>
              </w:rPr>
              <w:t>их</w:t>
            </w:r>
            <w:r w:rsidRPr="00DB607F">
              <w:t xml:space="preserve"> полазишта, дефиниса</w:t>
            </w:r>
            <w:r>
              <w:rPr>
                <w:lang w:val="sr-Cyrl-RS"/>
              </w:rPr>
              <w:t>ње</w:t>
            </w:r>
            <w:r w:rsidRPr="00DB607F">
              <w:t xml:space="preserve"> појм</w:t>
            </w:r>
            <w:r>
              <w:rPr>
                <w:lang w:val="sr-Cyrl-RS"/>
              </w:rPr>
              <w:t>а</w:t>
            </w:r>
            <w:r w:rsidRPr="00DB607F">
              <w:t xml:space="preserve"> и значај</w:t>
            </w:r>
            <w:r>
              <w:rPr>
                <w:lang w:val="sr-Cyrl-RS"/>
              </w:rPr>
              <w:t>а</w:t>
            </w:r>
            <w:r w:rsidRPr="00DB607F">
              <w:t xml:space="preserve"> рефлексивне праксе за наставнички позив; представљене компетенције савременог наставника са посебним освртом на дигиталну компетентност. Допринос теоријског циља истраживања огледа се у повезивању теоријских основа о рефлексивности и дигиталној компетентности наставника. </w:t>
            </w:r>
          </w:p>
          <w:p w14:paraId="7BDFCB0C" w14:textId="2B832F46" w:rsidR="00830DB7" w:rsidRDefault="00830DB7" w:rsidP="00830DB7">
            <w:r w:rsidRPr="008320CD">
              <w:t xml:space="preserve">Сазнајни циљ усмерен је на сагледавање и утврђивање повезаности између два наведена сегмента наставничког позива, рефлексивног поступања и дигиталне компетентности. Акценат овог циља је да </w:t>
            </w:r>
            <w:r w:rsidR="00586970">
              <w:rPr>
                <w:lang w:val="sr-Cyrl-RS"/>
              </w:rPr>
              <w:t xml:space="preserve">се </w:t>
            </w:r>
            <w:r w:rsidRPr="008320CD">
              <w:t>утврди да ли су рефлексивно поступање и дигитална компетентност наставника повезане.</w:t>
            </w:r>
          </w:p>
          <w:p w14:paraId="537D92D4" w14:textId="48FD415E" w:rsidR="00830DB7" w:rsidRDefault="00830DB7" w:rsidP="00830DB7">
            <w:r w:rsidRPr="008320CD">
              <w:lastRenderedPageBreak/>
              <w:t>Апликативни циљ усмерен је на то да</w:t>
            </w:r>
            <w:r w:rsidR="00586970">
              <w:rPr>
                <w:lang w:val="sr-Cyrl-RS"/>
              </w:rPr>
              <w:t xml:space="preserve"> се</w:t>
            </w:r>
            <w:r w:rsidRPr="008320CD">
              <w:t xml:space="preserve"> истраживањем дође да закључка о повезаности рефлексивног поступања и дигиталне компетентности наставника. </w:t>
            </w:r>
            <w:r w:rsidR="000E202A">
              <w:rPr>
                <w:lang w:val="sr-Cyrl-RS"/>
              </w:rPr>
              <w:t>И</w:t>
            </w:r>
            <w:r w:rsidRPr="008320CD">
              <w:t>страживање</w:t>
            </w:r>
            <w:r w:rsidR="000E202A">
              <w:rPr>
                <w:lang w:val="sr-Cyrl-RS"/>
              </w:rPr>
              <w:t xml:space="preserve">м се </w:t>
            </w:r>
            <w:r w:rsidRPr="008320CD">
              <w:t>доби</w:t>
            </w:r>
            <w:r w:rsidR="000E202A">
              <w:rPr>
                <w:lang w:val="sr-Cyrl-RS"/>
              </w:rPr>
              <w:t>јају</w:t>
            </w:r>
            <w:r w:rsidRPr="008320CD">
              <w:t xml:space="preserve"> две врсте података, о рефлексивности у наставничком ангажману и дигиталној компетентности наставника. На основу добијених података вршиће</w:t>
            </w:r>
            <w:r w:rsidR="000E202A">
              <w:rPr>
                <w:lang w:val="sr-Cyrl-RS"/>
              </w:rPr>
              <w:t xml:space="preserve"> се </w:t>
            </w:r>
            <w:r w:rsidRPr="008320CD">
              <w:t xml:space="preserve"> поређење и утврдити да ли постоји повезаност у одговорима испитаника. Добијени подаци имаће значај за унапређивање васпитно-образовног рада, затим указаће на значај континуираног праћења рада, анализе властитих уверења и спремност за прихватање и примену новина. Такође, биће указано на значај дигиталне компетентности наставника и на бројне могућности у којима дигитална компетентност може олакшати, унапредити рад и професионални развој. Новоконструисани инструменти допринеће истраживању сличне проблематике од стране наставника, истраживача, практичара и студената.</w:t>
            </w:r>
          </w:p>
          <w:p w14:paraId="1376B871" w14:textId="77777777" w:rsidR="00830DB7" w:rsidRPr="00DB607F" w:rsidRDefault="00830DB7" w:rsidP="00830DB7">
            <w:r>
              <w:rPr>
                <w:lang w:val="sr-Cyrl-RS"/>
              </w:rPr>
              <w:t>Р</w:t>
            </w:r>
            <w:r w:rsidRPr="00DB607F">
              <w:t>ефлексивност наставника</w:t>
            </w:r>
            <w:r>
              <w:rPr>
                <w:lang w:val="sr-Cyrl-RS"/>
              </w:rPr>
              <w:t xml:space="preserve"> утврдићемо</w:t>
            </w:r>
            <w:r w:rsidRPr="00DB607F">
              <w:t xml:space="preserve"> у оквиру следећих задатака:</w:t>
            </w:r>
          </w:p>
          <w:p w14:paraId="4C8E9055" w14:textId="77777777" w:rsidR="00830DB7" w:rsidRPr="00DB607F" w:rsidRDefault="00830DB7" w:rsidP="00830DB7">
            <w:r>
              <w:t xml:space="preserve">- </w:t>
            </w:r>
            <w:r w:rsidRPr="00DB607F">
              <w:t>Утврдити да ли наставници имају тенденцију ка континуираном самоанализирању и самопраћењу;</w:t>
            </w:r>
          </w:p>
          <w:p w14:paraId="1443D915" w14:textId="77777777" w:rsidR="00830DB7" w:rsidRPr="00DB607F" w:rsidRDefault="00830DB7" w:rsidP="00830DB7">
            <w:r>
              <w:t xml:space="preserve">- </w:t>
            </w:r>
            <w:r w:rsidRPr="00DB607F">
              <w:t>Утврдити да ли су наставници отворени за сагледавање ситуације из различитих углова;</w:t>
            </w:r>
          </w:p>
          <w:p w14:paraId="09EBCA0E" w14:textId="77777777" w:rsidR="00830DB7" w:rsidRPr="00DB607F" w:rsidRDefault="00830DB7" w:rsidP="00830DB7">
            <w:r>
              <w:t xml:space="preserve">- </w:t>
            </w:r>
            <w:r w:rsidRPr="00DB607F">
              <w:t>Утврдити да ли наставници трагају за елементима добре праксе;</w:t>
            </w:r>
          </w:p>
          <w:p w14:paraId="35B3433E" w14:textId="77777777" w:rsidR="00830DB7" w:rsidRPr="00DB607F" w:rsidRDefault="00830DB7" w:rsidP="00830DB7">
            <w:r>
              <w:t xml:space="preserve">- </w:t>
            </w:r>
            <w:r w:rsidRPr="00DB607F">
              <w:t>Утврдити да ли су наставници отворени да испробају другачије начине рада од устаљених;</w:t>
            </w:r>
          </w:p>
          <w:p w14:paraId="3927784B" w14:textId="77777777" w:rsidR="00830DB7" w:rsidRPr="00DB607F" w:rsidRDefault="00830DB7" w:rsidP="00830DB7">
            <w:r>
              <w:t xml:space="preserve">- </w:t>
            </w:r>
            <w:r w:rsidRPr="00DB607F">
              <w:t>Утврдити да ли су наставници отворени да размењују искустава са колегама;</w:t>
            </w:r>
          </w:p>
          <w:p w14:paraId="3A3E95C3" w14:textId="77777777" w:rsidR="00830DB7" w:rsidRPr="00DB607F" w:rsidRDefault="00830DB7" w:rsidP="00830DB7">
            <w:r>
              <w:t xml:space="preserve">- </w:t>
            </w:r>
            <w:r w:rsidRPr="00DB607F">
              <w:t>Утврдити да ли су наставници спремни да анализирају уверења на којима се темеље њихови поступци;</w:t>
            </w:r>
          </w:p>
          <w:p w14:paraId="0E041C61" w14:textId="77777777" w:rsidR="00830DB7" w:rsidRPr="00DB607F" w:rsidRDefault="00830DB7" w:rsidP="00830DB7">
            <w:r>
              <w:t xml:space="preserve">- </w:t>
            </w:r>
            <w:r w:rsidRPr="00DB607F">
              <w:t>Утврдити да ли су наставници спремни да промене претходно постављени план у зависности од начина на који ученици реагују током часа;</w:t>
            </w:r>
          </w:p>
          <w:p w14:paraId="4EC1741A" w14:textId="77777777" w:rsidR="00830DB7" w:rsidRPr="00DB607F" w:rsidRDefault="00830DB7" w:rsidP="00830DB7">
            <w:r>
              <w:t xml:space="preserve">- </w:t>
            </w:r>
            <w:r w:rsidRPr="00DB607F">
              <w:t>Утврдити да ли наставници имају праксу вођења рефлексивног дневника;</w:t>
            </w:r>
          </w:p>
          <w:p w14:paraId="6E8FF27E" w14:textId="77777777" w:rsidR="00830DB7" w:rsidRPr="00DB607F" w:rsidRDefault="00830DB7" w:rsidP="00830DB7">
            <w:r>
              <w:t xml:space="preserve">- </w:t>
            </w:r>
            <w:r w:rsidRPr="00DB607F">
              <w:t>Утвр</w:t>
            </w:r>
            <w:r>
              <w:t>д</w:t>
            </w:r>
            <w:r w:rsidRPr="00DB607F">
              <w:t>ити да ли су наставници отворени за спровођење акционих истраживања.</w:t>
            </w:r>
          </w:p>
          <w:p w14:paraId="2356BEF1" w14:textId="77777777" w:rsidR="00830DB7" w:rsidRPr="00DB607F" w:rsidRDefault="00830DB7" w:rsidP="00830DB7">
            <w:r>
              <w:rPr>
                <w:lang w:val="sr-Cyrl-RS"/>
              </w:rPr>
              <w:t>Д</w:t>
            </w:r>
            <w:r w:rsidRPr="00DB607F">
              <w:t xml:space="preserve">игиталну компетентност наставника </w:t>
            </w:r>
            <w:r>
              <w:rPr>
                <w:lang w:val="sr-Cyrl-RS"/>
              </w:rPr>
              <w:t xml:space="preserve">утврдићемо </w:t>
            </w:r>
            <w:r w:rsidRPr="00DB607F">
              <w:t xml:space="preserve">у оквиру следећих задатака: </w:t>
            </w:r>
          </w:p>
          <w:p w14:paraId="51E7DE12" w14:textId="77777777" w:rsidR="00830DB7" w:rsidRPr="00DB607F" w:rsidRDefault="00830DB7" w:rsidP="00830DB7">
            <w:r>
              <w:t xml:space="preserve">- </w:t>
            </w:r>
            <w:r w:rsidRPr="00DB607F">
              <w:t>Утврдити да ли су наставници спремни за креирање безбедног дигиталног окружења за ученике;</w:t>
            </w:r>
          </w:p>
          <w:p w14:paraId="473F2D0F" w14:textId="77777777" w:rsidR="00830DB7" w:rsidRPr="00DB607F" w:rsidRDefault="00830DB7" w:rsidP="00830DB7">
            <w:r>
              <w:t xml:space="preserve">- </w:t>
            </w:r>
            <w:r w:rsidRPr="00DB607F">
              <w:t>Утврдити да ли су наставници спремни за ефикасно коришћење дигиталних ресурса за потребе наставе и учења;</w:t>
            </w:r>
          </w:p>
          <w:p w14:paraId="5DB06E17" w14:textId="77777777" w:rsidR="00830DB7" w:rsidRPr="00DB607F" w:rsidRDefault="00830DB7" w:rsidP="00830DB7">
            <w:r>
              <w:t xml:space="preserve">- </w:t>
            </w:r>
            <w:r w:rsidRPr="00DB607F">
              <w:t>Утврдити да ли наставници имају тенденцију ка планирању и креирању аутентичног и стимулативног дигиталног окружења за учење;</w:t>
            </w:r>
          </w:p>
          <w:p w14:paraId="547C59CC" w14:textId="77777777" w:rsidR="00830DB7" w:rsidRPr="00DB607F" w:rsidRDefault="00830DB7" w:rsidP="00830DB7">
            <w:r>
              <w:t xml:space="preserve">- </w:t>
            </w:r>
            <w:r w:rsidRPr="00DB607F">
              <w:t>Утврдити да ли наставници користе савремене начине оцењивања и праћења ученичког напретка;</w:t>
            </w:r>
          </w:p>
          <w:p w14:paraId="418DC119" w14:textId="77777777" w:rsidR="00830DB7" w:rsidRPr="00DB607F" w:rsidRDefault="00830DB7" w:rsidP="00830DB7">
            <w:r>
              <w:t xml:space="preserve">- </w:t>
            </w:r>
            <w:r w:rsidRPr="00DB607F">
              <w:t>Утврдити да ли наставници користе потенцијал дигиталних технологија за рад са ученицима којима је потребна додатна образовна подршка;</w:t>
            </w:r>
          </w:p>
          <w:p w14:paraId="7635BBB0" w14:textId="77777777" w:rsidR="00EA0590" w:rsidRPr="0082465B" w:rsidRDefault="00830DB7" w:rsidP="00830DB7">
            <w:pPr>
              <w:rPr>
                <w:lang w:val="ru-RU"/>
              </w:rPr>
            </w:pPr>
            <w:r>
              <w:t xml:space="preserve">- </w:t>
            </w:r>
            <w:r w:rsidRPr="00DB607F">
              <w:t>Утврдити да ли наставници користе бенефите дигиталних тенологија у циљу професионалног развоја.</w:t>
            </w:r>
          </w:p>
        </w:tc>
      </w:tr>
      <w:tr w:rsidR="00EA0590" w:rsidRPr="0082465B" w14:paraId="7E86F9AB" w14:textId="77777777" w:rsidTr="005F69BB">
        <w:trPr>
          <w:trHeight w:val="227"/>
          <w:jc w:val="center"/>
        </w:trPr>
        <w:tc>
          <w:tcPr>
            <w:tcW w:w="371" w:type="dxa"/>
            <w:shd w:val="clear" w:color="auto" w:fill="F3F3F3"/>
            <w:vAlign w:val="center"/>
          </w:tcPr>
          <w:p w14:paraId="4F9178D3" w14:textId="77777777" w:rsidR="00EA0590" w:rsidRPr="0082465B" w:rsidRDefault="00EA0590" w:rsidP="008E1439">
            <w:pPr>
              <w:jc w:val="center"/>
              <w:rPr>
                <w:lang w:val="ru-RU"/>
              </w:rPr>
            </w:pPr>
            <w:r w:rsidRPr="0082465B">
              <w:rPr>
                <w:lang w:val="ru-RU"/>
              </w:rPr>
              <w:lastRenderedPageBreak/>
              <w:t>4.</w:t>
            </w:r>
          </w:p>
        </w:tc>
        <w:tc>
          <w:tcPr>
            <w:tcW w:w="10420" w:type="dxa"/>
            <w:gridSpan w:val="9"/>
            <w:shd w:val="clear" w:color="auto" w:fill="F3F3F3"/>
            <w:vAlign w:val="center"/>
          </w:tcPr>
          <w:p w14:paraId="1AD528B2" w14:textId="77777777" w:rsidR="00EA0590" w:rsidRPr="0082465B" w:rsidRDefault="00EA0590" w:rsidP="008E1439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Очекивани резултати, научна заснованост и допринос истраживања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200 речи)</w:t>
            </w:r>
          </w:p>
        </w:tc>
      </w:tr>
      <w:tr w:rsidR="00EA0590" w:rsidRPr="0082465B" w14:paraId="4B90C8DB" w14:textId="77777777" w:rsidTr="005F69BB">
        <w:trPr>
          <w:trHeight w:val="567"/>
          <w:jc w:val="center"/>
        </w:trPr>
        <w:tc>
          <w:tcPr>
            <w:tcW w:w="10791" w:type="dxa"/>
            <w:gridSpan w:val="10"/>
          </w:tcPr>
          <w:p w14:paraId="1B25207E" w14:textId="77777777" w:rsidR="00830DB7" w:rsidRPr="0030609B" w:rsidRDefault="00830DB7" w:rsidP="00830DB7">
            <w:r w:rsidRPr="00DB607F">
              <w:t>С</w:t>
            </w:r>
            <w:r>
              <w:t>ходно истраживачким задацима фо</w:t>
            </w:r>
            <w:r w:rsidRPr="00DB607F">
              <w:t>р</w:t>
            </w:r>
            <w:r>
              <w:t>м</w:t>
            </w:r>
            <w:r w:rsidRPr="00DB607F">
              <w:t>улисане су хипотезе у оквиру ре</w:t>
            </w:r>
            <w:r>
              <w:t>флексивног поступања наставника. Претпоставља се да:</w:t>
            </w:r>
          </w:p>
          <w:p w14:paraId="7A5C2F8D" w14:textId="77777777" w:rsidR="00830DB7" w:rsidRPr="00DB607F" w:rsidRDefault="00830DB7" w:rsidP="00830DB7">
            <w:r>
              <w:t xml:space="preserve">- </w:t>
            </w:r>
            <w:r w:rsidRPr="00DB607F">
              <w:t>наставници имају тенденцију ка континуираном самоанализирању и самопраћењу;</w:t>
            </w:r>
          </w:p>
          <w:p w14:paraId="3D9933C0" w14:textId="77777777" w:rsidR="00830DB7" w:rsidRPr="00DB607F" w:rsidRDefault="00830DB7" w:rsidP="00830DB7">
            <w:r>
              <w:t xml:space="preserve">- </w:t>
            </w:r>
            <w:r w:rsidRPr="00DB607F">
              <w:t>су наставници отворени за сагледавање ситуације из различитих углова.</w:t>
            </w:r>
          </w:p>
          <w:p w14:paraId="39632C96" w14:textId="77777777" w:rsidR="00830DB7" w:rsidRPr="00DB607F" w:rsidRDefault="00830DB7" w:rsidP="00830DB7">
            <w:r>
              <w:t xml:space="preserve">- </w:t>
            </w:r>
            <w:r w:rsidRPr="00DB607F">
              <w:t>наставници трагају за елементима добре праксе;</w:t>
            </w:r>
          </w:p>
          <w:p w14:paraId="2CB2362F" w14:textId="77777777" w:rsidR="00830DB7" w:rsidRPr="00DB607F" w:rsidRDefault="00830DB7" w:rsidP="00830DB7">
            <w:r>
              <w:t xml:space="preserve">- </w:t>
            </w:r>
            <w:r w:rsidRPr="00DB607F">
              <w:t xml:space="preserve">су наставници отворени да </w:t>
            </w:r>
            <w:r w:rsidR="00F5418A">
              <w:rPr>
                <w:lang w:val="sr-Cyrl-RS"/>
              </w:rPr>
              <w:t>примене</w:t>
            </w:r>
            <w:r w:rsidRPr="00DB607F">
              <w:t xml:space="preserve"> другачије начине рада од устаљених,</w:t>
            </w:r>
          </w:p>
          <w:p w14:paraId="4BD56BAF" w14:textId="77777777" w:rsidR="00830DB7" w:rsidRPr="00DB607F" w:rsidRDefault="00830DB7" w:rsidP="00830DB7">
            <w:r>
              <w:t xml:space="preserve">- </w:t>
            </w:r>
            <w:r w:rsidRPr="00DB607F">
              <w:t>су наставници отворени за размену искустава са колегама;</w:t>
            </w:r>
          </w:p>
          <w:p w14:paraId="559104C5" w14:textId="77777777" w:rsidR="00830DB7" w:rsidRPr="00DB607F" w:rsidRDefault="00830DB7" w:rsidP="00830DB7">
            <w:r>
              <w:t xml:space="preserve">- </w:t>
            </w:r>
            <w:r w:rsidRPr="00DB607F">
              <w:t>су наставници спремни да анализирају уверења на којима се темеље њихови поступци;</w:t>
            </w:r>
          </w:p>
          <w:p w14:paraId="3770DE7F" w14:textId="77777777" w:rsidR="00830DB7" w:rsidRPr="00DB607F" w:rsidRDefault="00830DB7" w:rsidP="00830DB7">
            <w:r>
              <w:t xml:space="preserve">- </w:t>
            </w:r>
            <w:r w:rsidRPr="00DB607F">
              <w:t>су наставници спремни да промене претходно постављени план у зависности од начина на који ученици реагују током часа;</w:t>
            </w:r>
          </w:p>
          <w:p w14:paraId="00147B51" w14:textId="77777777" w:rsidR="00830DB7" w:rsidRPr="00DB607F" w:rsidRDefault="00830DB7" w:rsidP="00830DB7">
            <w:r>
              <w:t xml:space="preserve">- </w:t>
            </w:r>
            <w:r w:rsidRPr="00DB607F">
              <w:t>наставници имају праксу вођења рефлексивног дневника;</w:t>
            </w:r>
          </w:p>
          <w:p w14:paraId="2CCB895A" w14:textId="77777777" w:rsidR="00830DB7" w:rsidRPr="00DB607F" w:rsidRDefault="00830DB7" w:rsidP="00830DB7">
            <w:r>
              <w:t xml:space="preserve">- </w:t>
            </w:r>
            <w:r w:rsidRPr="00DB607F">
              <w:t>су наставници отворени за спровођење акционих истраживања.</w:t>
            </w:r>
          </w:p>
          <w:p w14:paraId="1760FAA5" w14:textId="77777777" w:rsidR="00830DB7" w:rsidRPr="0030609B" w:rsidRDefault="00830DB7" w:rsidP="00830DB7">
            <w:r>
              <w:t>Затим су фо</w:t>
            </w:r>
            <w:r w:rsidRPr="00DB607F">
              <w:t>р</w:t>
            </w:r>
            <w:r>
              <w:t>м</w:t>
            </w:r>
            <w:r w:rsidRPr="00DB607F">
              <w:t xml:space="preserve">улисане хипотезе у оквиру дигиталне </w:t>
            </w:r>
            <w:r>
              <w:t>компетентности наставника. Претпоставља се да:</w:t>
            </w:r>
          </w:p>
          <w:p w14:paraId="7E7C4ED9" w14:textId="77777777" w:rsidR="00830DB7" w:rsidRPr="00DB607F" w:rsidRDefault="00830DB7" w:rsidP="00830DB7">
            <w:r>
              <w:t xml:space="preserve">- </w:t>
            </w:r>
            <w:r w:rsidRPr="00DB607F">
              <w:t>су наставници спремни за креирање безбедног дигиталног окружења за ученике;</w:t>
            </w:r>
          </w:p>
          <w:p w14:paraId="01E9E2E8" w14:textId="77777777" w:rsidR="00830DB7" w:rsidRPr="00DB607F" w:rsidRDefault="00830DB7" w:rsidP="00830DB7">
            <w:r>
              <w:t xml:space="preserve">- </w:t>
            </w:r>
            <w:r w:rsidRPr="00DB607F">
              <w:t>су наставници спремни за ефикасно коришћење дигиталних ресурса за потребе наставе и учења;</w:t>
            </w:r>
          </w:p>
          <w:p w14:paraId="04B28C5E" w14:textId="77777777" w:rsidR="00830DB7" w:rsidRPr="00DB607F" w:rsidRDefault="00830DB7" w:rsidP="00830DB7">
            <w:r>
              <w:t xml:space="preserve">- </w:t>
            </w:r>
            <w:r w:rsidRPr="00DB607F">
              <w:t>наставници имају тенденцију ка планирању и креирању аутентичног и стимулативног дигиталног окружења за учење;</w:t>
            </w:r>
          </w:p>
          <w:p w14:paraId="50BF9A76" w14:textId="77777777" w:rsidR="00830DB7" w:rsidRPr="00DB607F" w:rsidRDefault="00830DB7" w:rsidP="00830DB7">
            <w:r>
              <w:t xml:space="preserve">- </w:t>
            </w:r>
            <w:r w:rsidRPr="00DB607F">
              <w:t>наставници користе савремене начине оцењивања и праћења ученичког напретка;</w:t>
            </w:r>
          </w:p>
          <w:p w14:paraId="6195870F" w14:textId="77777777" w:rsidR="00830DB7" w:rsidRPr="00DB607F" w:rsidRDefault="00830DB7" w:rsidP="00830DB7">
            <w:r>
              <w:t xml:space="preserve">- </w:t>
            </w:r>
            <w:r w:rsidRPr="00DB607F">
              <w:t>наставници користе потенцијал дигиталних технологија за рад са ученицима којима је потребна додатна образовна подршка;</w:t>
            </w:r>
          </w:p>
          <w:p w14:paraId="406B3213" w14:textId="77777777" w:rsidR="00830DB7" w:rsidRDefault="00830DB7" w:rsidP="00830DB7">
            <w:r>
              <w:t xml:space="preserve">- </w:t>
            </w:r>
            <w:r w:rsidRPr="00DB607F">
              <w:t>наставници користе бенефите дигиталних технологија у циљу професионалног развоја.</w:t>
            </w:r>
          </w:p>
          <w:p w14:paraId="6B6CE4C2" w14:textId="4BEE0448" w:rsidR="00EA0590" w:rsidRPr="0082465B" w:rsidRDefault="003F7DC8" w:rsidP="00830DB7">
            <w:pPr>
              <w:rPr>
                <w:lang w:val="ru-RU"/>
              </w:rPr>
            </w:pPr>
            <w:r>
              <w:rPr>
                <w:lang w:val="sr-Cyrl-RS"/>
              </w:rPr>
              <w:t xml:space="preserve">Претпоствља се </w:t>
            </w:r>
            <w:r w:rsidR="00830DB7" w:rsidRPr="00C249E5">
              <w:t>да ће резултати показати да су наставници свесни значаја континуираног праћења и унапређења праксе</w:t>
            </w:r>
            <w:r w:rsidR="00C0528A">
              <w:rPr>
                <w:lang w:val="sr-Cyrl-RS"/>
              </w:rPr>
              <w:t>,</w:t>
            </w:r>
            <w:r w:rsidR="00830DB7" w:rsidRPr="00C249E5">
              <w:t xml:space="preserve"> те и да су спремни да уносе промене у свој рад како би га унапредили. Такође, </w:t>
            </w:r>
            <w:r>
              <w:rPr>
                <w:lang w:val="sr-Cyrl-RS"/>
              </w:rPr>
              <w:t>претпоставља се</w:t>
            </w:r>
            <w:r w:rsidR="00830DB7" w:rsidRPr="00C249E5">
              <w:t xml:space="preserve"> да ће </w:t>
            </w:r>
            <w:r w:rsidR="00830DB7" w:rsidRPr="00C249E5">
              <w:lastRenderedPageBreak/>
              <w:t xml:space="preserve">дигитална компетентност наставника бити потврђена у више аспеката. Ови резултати ће омогућити да </w:t>
            </w:r>
            <w:r>
              <w:rPr>
                <w:lang w:val="sr-Cyrl-RS"/>
              </w:rPr>
              <w:t xml:space="preserve"> се </w:t>
            </w:r>
            <w:r w:rsidR="00830DB7" w:rsidRPr="00C249E5">
              <w:t>истраж</w:t>
            </w:r>
            <w:r>
              <w:rPr>
                <w:lang w:val="sr-Cyrl-RS"/>
              </w:rPr>
              <w:t>и</w:t>
            </w:r>
            <w:r w:rsidR="00830DB7" w:rsidRPr="00C249E5">
              <w:t xml:space="preserve"> повезаност рефлексивног поступања (као предикаторске варијабле) и дигиталне компетентности наставника, а све то у односу на социодемографске варијабле.</w:t>
            </w:r>
            <w:r w:rsidR="00830DB7">
              <w:t xml:space="preserve"> Крајњим исходом </w:t>
            </w:r>
            <w:r w:rsidR="00830DB7" w:rsidRPr="002055E6">
              <w:rPr>
                <w:lang w:val="sr-Cyrl-RS"/>
              </w:rPr>
              <w:t>разја</w:t>
            </w:r>
            <w:r w:rsidR="00830DB7">
              <w:rPr>
                <w:lang w:val="sr-Cyrl-RS"/>
              </w:rPr>
              <w:t>сниће</w:t>
            </w:r>
            <w:r w:rsidR="00C0528A">
              <w:rPr>
                <w:lang w:val="sr-Cyrl-RS"/>
              </w:rPr>
              <w:t xml:space="preserve"> </w:t>
            </w:r>
            <w:r w:rsidR="00830DB7">
              <w:t xml:space="preserve">се потреба за дигиталним и рефлексивним образовањем наставника и њиховим повезивањем, </w:t>
            </w:r>
            <w:r w:rsidR="00830DB7">
              <w:rPr>
                <w:lang w:val="sr-Cyrl-RS"/>
              </w:rPr>
              <w:t>посебно</w:t>
            </w:r>
            <w:r w:rsidR="00830DB7">
              <w:t xml:space="preserve"> у одређеним структурама истраживачког узорка и одређеним аспектима истраживачких компетенција.</w:t>
            </w:r>
          </w:p>
        </w:tc>
      </w:tr>
      <w:tr w:rsidR="00EA0590" w:rsidRPr="0082465B" w14:paraId="1B456631" w14:textId="77777777" w:rsidTr="005F69BB">
        <w:trPr>
          <w:trHeight w:val="227"/>
          <w:jc w:val="center"/>
        </w:trPr>
        <w:tc>
          <w:tcPr>
            <w:tcW w:w="371" w:type="dxa"/>
            <w:shd w:val="clear" w:color="auto" w:fill="F3F3F3"/>
            <w:vAlign w:val="center"/>
          </w:tcPr>
          <w:p w14:paraId="0C76666F" w14:textId="77777777" w:rsidR="00EA0590" w:rsidRPr="0082465B" w:rsidRDefault="00EA0590" w:rsidP="008E1439">
            <w:pPr>
              <w:jc w:val="center"/>
              <w:rPr>
                <w:lang w:val="ru-RU"/>
              </w:rPr>
            </w:pPr>
            <w:r w:rsidRPr="0082465B">
              <w:rPr>
                <w:lang w:val="ru-RU"/>
              </w:rPr>
              <w:lastRenderedPageBreak/>
              <w:t>5.</w:t>
            </w:r>
          </w:p>
        </w:tc>
        <w:tc>
          <w:tcPr>
            <w:tcW w:w="10420" w:type="dxa"/>
            <w:gridSpan w:val="9"/>
            <w:shd w:val="clear" w:color="auto" w:fill="F3F3F3"/>
            <w:vAlign w:val="center"/>
          </w:tcPr>
          <w:p w14:paraId="354460E1" w14:textId="77777777" w:rsidR="00EA0590" w:rsidRPr="0082465B" w:rsidRDefault="00EA0590" w:rsidP="008E1439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Примењене научне методе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300 речи)</w:t>
            </w:r>
          </w:p>
        </w:tc>
      </w:tr>
      <w:tr w:rsidR="00EA0590" w:rsidRPr="0082465B" w14:paraId="36F074AC" w14:textId="77777777" w:rsidTr="005F69BB">
        <w:trPr>
          <w:trHeight w:val="567"/>
          <w:jc w:val="center"/>
        </w:trPr>
        <w:tc>
          <w:tcPr>
            <w:tcW w:w="10791" w:type="dxa"/>
            <w:gridSpan w:val="10"/>
          </w:tcPr>
          <w:p w14:paraId="26C59114" w14:textId="77777777" w:rsidR="003F7DC8" w:rsidRDefault="00830DB7" w:rsidP="00830DB7">
            <w:pPr>
              <w:rPr>
                <w:lang w:val="sr-Cyrl-RS"/>
              </w:rPr>
            </w:pPr>
            <w:r w:rsidRPr="00BC02C0">
              <w:t>Ово истраживање представља примењено истраживање. Метода је одабрана у складу са предметом, циљем, задацима истраживања, природом проблема и постављеним хипотезама. Методом теоријске анализе предочи</w:t>
            </w:r>
            <w:r w:rsidR="00074BA3">
              <w:rPr>
                <w:lang w:val="sr-Cyrl-RS"/>
              </w:rPr>
              <w:t>ће</w:t>
            </w:r>
            <w:r w:rsidR="003F7DC8">
              <w:rPr>
                <w:lang w:val="sr-Cyrl-RS"/>
              </w:rPr>
              <w:t xml:space="preserve"> се </w:t>
            </w:r>
            <w:r w:rsidRPr="00BC02C0">
              <w:t xml:space="preserve"> и расветлили проблем истраживања, утврдили циљ, зада</w:t>
            </w:r>
            <w:r w:rsidR="003F7DC8">
              <w:rPr>
                <w:lang w:val="sr-Cyrl-RS"/>
              </w:rPr>
              <w:t>ци</w:t>
            </w:r>
            <w:r w:rsidRPr="00BC02C0">
              <w:t xml:space="preserve"> и хипотезе. У истраживању ће метода теоријске анализе и дескриптивна научно-истраживачка метода омогући</w:t>
            </w:r>
            <w:r>
              <w:rPr>
                <w:lang w:val="sr-Cyrl-RS"/>
              </w:rPr>
              <w:t>ти</w:t>
            </w:r>
            <w:r w:rsidRPr="00BC02C0">
              <w:t xml:space="preserve"> теоријско сагледавање различитих методолошких приступа у проучавању проблема рефлексивног поступања и дигиталне компетентности наставника. У анализи и интерпретацији података и резултата истраживања корист</w:t>
            </w:r>
            <w:r w:rsidR="003F7DC8">
              <w:rPr>
                <w:lang w:val="sr-Cyrl-RS"/>
              </w:rPr>
              <w:t>иће се</w:t>
            </w:r>
            <w:r w:rsidRPr="00BC02C0">
              <w:t xml:space="preserve"> </w:t>
            </w:r>
            <w:r>
              <w:t>SWOT</w:t>
            </w:r>
            <w:r w:rsidRPr="00BC02C0">
              <w:t xml:space="preserve"> анализ</w:t>
            </w:r>
            <w:r w:rsidR="003F7DC8">
              <w:rPr>
                <w:lang w:val="sr-Cyrl-RS"/>
              </w:rPr>
              <w:t>а,</w:t>
            </w:r>
            <w:r w:rsidRPr="00BC02C0">
              <w:t xml:space="preserve"> која ће омогућити препознавање позитивних и негативних страна резултата истраживања али која ће дати могућност да се на њих благовремено утиче, затим које су главне предности и слабости и какве су шансе и препреке да се стигне до планираних циљева у будућности.</w:t>
            </w:r>
            <w:r>
              <w:rPr>
                <w:lang w:val="sr-Cyrl-RS"/>
              </w:rPr>
              <w:t xml:space="preserve"> </w:t>
            </w:r>
          </w:p>
          <w:p w14:paraId="506E2018" w14:textId="7BF951D7" w:rsidR="00830DB7" w:rsidRPr="00303DE6" w:rsidRDefault="00830DB7" w:rsidP="00830DB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Истраживање ће се одвијати у две етапе. </w:t>
            </w:r>
            <w:r w:rsidRPr="00303DE6">
              <w:t>У првој етапи оба</w:t>
            </w:r>
            <w:r>
              <w:rPr>
                <w:lang w:val="sr-Cyrl-RS"/>
              </w:rPr>
              <w:t xml:space="preserve">виће се </w:t>
            </w:r>
            <w:r w:rsidRPr="00303DE6">
              <w:t xml:space="preserve">онлине претраживање, како би се установио прецизан број редовних основних и средњих школа на територији </w:t>
            </w:r>
            <w:r>
              <w:rPr>
                <w:lang w:val="sr-Cyrl-RS"/>
              </w:rPr>
              <w:t xml:space="preserve">југа </w:t>
            </w:r>
            <w:r w:rsidRPr="00303DE6">
              <w:t>Србије. Друга етапа истраживања о</w:t>
            </w:r>
            <w:r>
              <w:rPr>
                <w:lang w:val="sr-Cyrl-RS"/>
              </w:rPr>
              <w:t>бухватиће</w:t>
            </w:r>
            <w:r w:rsidRPr="00303DE6">
              <w:t xml:space="preserve"> теренски рад </w:t>
            </w:r>
            <w:r>
              <w:rPr>
                <w:lang w:val="sr-Cyrl-RS"/>
              </w:rPr>
              <w:t>под којим се</w:t>
            </w:r>
            <w:r w:rsidRPr="00303DE6">
              <w:t xml:space="preserve"> подразумева дистрибуциј</w:t>
            </w:r>
            <w:r>
              <w:rPr>
                <w:lang w:val="sr-Cyrl-RS"/>
              </w:rPr>
              <w:t>а</w:t>
            </w:r>
            <w:r w:rsidRPr="00303DE6">
              <w:t xml:space="preserve"> инструмен</w:t>
            </w:r>
            <w:r>
              <w:rPr>
                <w:lang w:val="sr-Cyrl-RS"/>
              </w:rPr>
              <w:t>а</w:t>
            </w:r>
            <w:r w:rsidRPr="00303DE6">
              <w:t xml:space="preserve">та наставницима основних и средњих школа. Дакле, у истраживању је примењен метод намерног узорковања. Поред тога, сви испитаници </w:t>
            </w:r>
            <w:r>
              <w:rPr>
                <w:lang w:val="sr-Cyrl-RS"/>
              </w:rPr>
              <w:t>ће бити</w:t>
            </w:r>
            <w:r w:rsidRPr="00303DE6">
              <w:t xml:space="preserve"> информисани о сврси, природи истраживања, анонимности и поверљивости података. Узорак истраживања конструисан је на основу добровољног пристанка наставника </w:t>
            </w:r>
            <w:r>
              <w:rPr>
                <w:lang w:val="sr-Cyrl-RS"/>
              </w:rPr>
              <w:t>з</w:t>
            </w:r>
            <w:r w:rsidRPr="00303DE6">
              <w:t>а учешће у емпиријском истраживању.</w:t>
            </w:r>
          </w:p>
          <w:p w14:paraId="53C9DFD4" w14:textId="77777777" w:rsidR="003F7DC8" w:rsidRDefault="00830DB7" w:rsidP="00830DB7">
            <w:r w:rsidRPr="00BC02C0">
              <w:t>Истраживачка техника која ће бити коришћена је скалирање.</w:t>
            </w:r>
            <w:r w:rsidR="002927EB">
              <w:rPr>
                <w:lang w:val="sr-Cyrl-RS"/>
              </w:rPr>
              <w:t xml:space="preserve"> </w:t>
            </w:r>
            <w:r>
              <w:t>За потребе истраживања конструисане су</w:t>
            </w:r>
            <w:r w:rsidRPr="00283CF4">
              <w:t xml:space="preserve"> две скале процене Ликертовог типа. </w:t>
            </w:r>
          </w:p>
          <w:p w14:paraId="14682FAA" w14:textId="77777777" w:rsidR="003F7DC8" w:rsidRDefault="00830DB7" w:rsidP="00830DB7">
            <w:r w:rsidRPr="00283CF4">
              <w:t xml:space="preserve">Прва скала процене </w:t>
            </w:r>
            <w:r w:rsidRPr="00283CF4">
              <w:rPr>
                <w:color w:val="000000"/>
              </w:rPr>
              <w:t>RPRAXIS за испитивање рефлексивног поступа</w:t>
            </w:r>
            <w:r>
              <w:rPr>
                <w:color w:val="000000"/>
              </w:rPr>
              <w:t>њ</w:t>
            </w:r>
            <w:r w:rsidRPr="00283CF4">
              <w:rPr>
                <w:color w:val="000000"/>
              </w:rPr>
              <w:t>а наставника</w:t>
            </w:r>
            <w:r>
              <w:rPr>
                <w:color w:val="000000"/>
              </w:rPr>
              <w:t>, конструисана на основу релевантних теоријских извора</w:t>
            </w:r>
            <w:r w:rsidRPr="00283CF4">
              <w:rPr>
                <w:color w:val="000000"/>
              </w:rPr>
              <w:t>, састоји се од 9 субскала и укупно 53 ајтема</w:t>
            </w:r>
            <w:r w:rsidRPr="00283CF4">
              <w:t xml:space="preserve">. </w:t>
            </w:r>
          </w:p>
          <w:p w14:paraId="6858421A" w14:textId="416D2D1B" w:rsidR="003F7DC8" w:rsidRDefault="00830DB7" w:rsidP="00830DB7">
            <w:pPr>
              <w:rPr>
                <w:lang w:val="sr-Cyrl-RS"/>
              </w:rPr>
            </w:pPr>
            <w:r w:rsidRPr="00283CF4">
              <w:t>Друга скала процене Ликетовог типа DIGNAS користиће се за испитивање дигиталне компетентности</w:t>
            </w:r>
            <w:r>
              <w:t xml:space="preserve"> и</w:t>
            </w:r>
            <w:r w:rsidR="002927EB">
              <w:rPr>
                <w:lang w:val="sr-Cyrl-RS"/>
              </w:rPr>
              <w:t xml:space="preserve"> </w:t>
            </w:r>
            <w:r>
              <w:t>конструисана је на основу</w:t>
            </w:r>
            <w:r w:rsidRPr="00283CF4">
              <w:t xml:space="preserve"> Оквира дигиталних компетенција </w:t>
            </w:r>
            <w:r w:rsidRPr="00476F61">
              <w:rPr>
                <w:i/>
                <w:iCs/>
                <w:lang w:val="sr-Cyrl-RS"/>
              </w:rPr>
              <w:t>Наставник за дигитално доба</w:t>
            </w:r>
            <w:r w:rsidRPr="00283CF4">
              <w:t>, који је усвојен 2019.</w:t>
            </w:r>
            <w:r w:rsidR="002927EB">
              <w:rPr>
                <w:lang w:val="sr-Cyrl-RS"/>
              </w:rPr>
              <w:t xml:space="preserve"> </w:t>
            </w:r>
            <w:r>
              <w:t>г</w:t>
            </w:r>
            <w:r w:rsidRPr="00283CF4">
              <w:t>одине</w:t>
            </w:r>
            <w:r w:rsidR="002927EB">
              <w:rPr>
                <w:lang w:val="sr-Cyrl-RS"/>
              </w:rPr>
              <w:t xml:space="preserve"> </w:t>
            </w:r>
            <w:r w:rsidRPr="00283CF4">
              <w:t>од</w:t>
            </w:r>
            <w:r w:rsidR="002927EB">
              <w:rPr>
                <w:lang w:val="sr-Cyrl-RS"/>
              </w:rPr>
              <w:t xml:space="preserve"> </w:t>
            </w:r>
            <w:r w:rsidRPr="00283CF4">
              <w:t>стране</w:t>
            </w:r>
            <w:r w:rsidR="002927EB">
              <w:rPr>
                <w:lang w:val="sr-Cyrl-RS"/>
              </w:rPr>
              <w:t xml:space="preserve"> </w:t>
            </w:r>
            <w:r w:rsidRPr="00283CF4">
              <w:t>Министарства</w:t>
            </w:r>
            <w:r w:rsidR="002927EB">
              <w:rPr>
                <w:lang w:val="sr-Cyrl-RS"/>
              </w:rPr>
              <w:t xml:space="preserve"> </w:t>
            </w:r>
            <w:r w:rsidRPr="00283CF4">
              <w:t>просвете, науке и технолошког развоја Републике Србије. Скала процене састоји се од 6 субскала и укупно 47 тврдњи.</w:t>
            </w:r>
            <w:r w:rsidR="002927EB">
              <w:rPr>
                <w:lang w:val="sr-Cyrl-RS"/>
              </w:rPr>
              <w:t xml:space="preserve"> </w:t>
            </w:r>
          </w:p>
          <w:p w14:paraId="2BD21EB3" w14:textId="1DB29DB1" w:rsidR="00EA0590" w:rsidRPr="003F7DC8" w:rsidRDefault="00830DB7" w:rsidP="00830DB7">
            <w:r w:rsidRPr="00283CF4">
              <w:t xml:space="preserve">Од статистичких поступака </w:t>
            </w:r>
            <w:r>
              <w:t>биће урађена</w:t>
            </w:r>
            <w:r w:rsidRPr="00283CF4">
              <w:t xml:space="preserve"> квантитативн</w:t>
            </w:r>
            <w:r>
              <w:t>а</w:t>
            </w:r>
            <w:r w:rsidRPr="00283CF4">
              <w:t xml:space="preserve"> обрад</w:t>
            </w:r>
            <w:r>
              <w:t>а</w:t>
            </w:r>
            <w:r w:rsidRPr="00283CF4">
              <w:t xml:space="preserve"> података, затим квалитативн</w:t>
            </w:r>
            <w:r>
              <w:t>а</w:t>
            </w:r>
            <w:r w:rsidRPr="00283CF4">
              <w:t xml:space="preserve"> анализ</w:t>
            </w:r>
            <w:r>
              <w:t>а</w:t>
            </w:r>
            <w:r w:rsidRPr="00283CF4">
              <w:t xml:space="preserve"> добијених</w:t>
            </w:r>
            <w:r w:rsidR="00924678">
              <w:rPr>
                <w:lang w:val="sr-Cyrl-RS"/>
              </w:rPr>
              <w:t xml:space="preserve"> </w:t>
            </w:r>
            <w:r w:rsidRPr="00283CF4">
              <w:t xml:space="preserve">података </w:t>
            </w:r>
            <w:r>
              <w:rPr>
                <w:lang w:val="sr-Cyrl-RS"/>
              </w:rPr>
              <w:t>у складу са</w:t>
            </w:r>
            <w:r w:rsidRPr="00283CF4">
              <w:t xml:space="preserve"> постављеним задацима и хипотезама. </w:t>
            </w:r>
            <w:r w:rsidRPr="00303DE6">
              <w:t>У складу са истраживачким проблемом и природом инструмен</w:t>
            </w:r>
            <w:r>
              <w:rPr>
                <w:lang w:val="sr-Cyrl-RS"/>
              </w:rPr>
              <w:t>а</w:t>
            </w:r>
            <w:r w:rsidRPr="00303DE6">
              <w:t xml:space="preserve">та, у истраживању </w:t>
            </w:r>
            <w:r>
              <w:rPr>
                <w:lang w:val="sr-Cyrl-RS"/>
              </w:rPr>
              <w:t>ће бити</w:t>
            </w:r>
            <w:r w:rsidRPr="00303DE6">
              <w:t xml:space="preserve"> примењена дескриптивна, инференцијална статистика и мултиваријантни статистички метод</w:t>
            </w:r>
            <w:r>
              <w:rPr>
                <w:lang w:val="sr-Cyrl-RS"/>
              </w:rPr>
              <w:t>, са пратећим с</w:t>
            </w:r>
            <w:r w:rsidRPr="00283CF4">
              <w:t>татистички</w:t>
            </w:r>
            <w:r>
              <w:rPr>
                <w:lang w:val="sr-Cyrl-RS"/>
              </w:rPr>
              <w:t>м</w:t>
            </w:r>
            <w:r w:rsidRPr="00283CF4">
              <w:t xml:space="preserve"> параметри</w:t>
            </w:r>
            <w:r>
              <w:rPr>
                <w:lang w:val="sr-Cyrl-RS"/>
              </w:rPr>
              <w:t>ма</w:t>
            </w:r>
            <w:r>
              <w:t>: Кро</w:t>
            </w:r>
            <w:r>
              <w:rPr>
                <w:lang w:val="sr-Cyrl-RS"/>
              </w:rPr>
              <w:t>н</w:t>
            </w:r>
            <w:r w:rsidRPr="00283CF4">
              <w:t>бах алфа</w:t>
            </w:r>
            <w:r>
              <w:t xml:space="preserve"> (</w:t>
            </w:r>
            <w:r w:rsidRPr="00283CF4">
              <w:t>провера поузданости</w:t>
            </w:r>
            <w:r>
              <w:t xml:space="preserve">), </w:t>
            </w:r>
            <w:r w:rsidRPr="00283CF4">
              <w:t>величина узорка</w:t>
            </w:r>
            <w:r>
              <w:t xml:space="preserve"> (</w:t>
            </w:r>
            <w:r w:rsidRPr="00283CF4">
              <w:t>n</w:t>
            </w:r>
            <w:r>
              <w:t>)</w:t>
            </w:r>
            <w:r w:rsidRPr="00283CF4">
              <w:t>, дескриптивна статистика</w:t>
            </w:r>
            <w:r>
              <w:t xml:space="preserve"> (</w:t>
            </w:r>
            <w:r w:rsidRPr="00283CF4">
              <w:t>f и %</w:t>
            </w:r>
            <w:r>
              <w:t>)</w:t>
            </w:r>
            <w:r w:rsidRPr="00283CF4">
              <w:t>, аритметичка средина и стадардна девијација</w:t>
            </w:r>
            <w:r>
              <w:t xml:space="preserve"> (</w:t>
            </w:r>
            <w:r w:rsidRPr="00283CF4">
              <w:t>M и SD</w:t>
            </w:r>
            <w:r>
              <w:t>)</w:t>
            </w:r>
            <w:r w:rsidRPr="00283CF4">
              <w:t>, факторска анализа у циљу редукције фактора</w:t>
            </w:r>
            <w:r>
              <w:t xml:space="preserve">, </w:t>
            </w:r>
            <w:r w:rsidRPr="00283CF4">
              <w:t>ниво статистичке значајности</w:t>
            </w:r>
            <w:r>
              <w:t xml:space="preserve"> (</w:t>
            </w:r>
            <w:r w:rsidRPr="00283CF4">
              <w:t>p</w:t>
            </w:r>
            <w:r>
              <w:t>)</w:t>
            </w:r>
            <w:r w:rsidRPr="00283CF4">
              <w:t xml:space="preserve">, </w:t>
            </w:r>
            <w:r>
              <w:t>параметријски тестови (t тест и F</w:t>
            </w:r>
            <w:r w:rsidR="003F7DC8">
              <w:rPr>
                <w:lang w:val="sr-Cyrl-RS"/>
              </w:rPr>
              <w:t xml:space="preserve"> </w:t>
            </w:r>
            <w:r>
              <w:t>тест), пирсонов коефицијент корелације (r) и регресиона анализа</w:t>
            </w:r>
            <w:r w:rsidRPr="00283CF4">
              <w:t>.</w:t>
            </w:r>
          </w:p>
        </w:tc>
      </w:tr>
      <w:tr w:rsidR="00EA0590" w:rsidRPr="0082465B" w14:paraId="71607E3B" w14:textId="77777777" w:rsidTr="005F69BB">
        <w:trPr>
          <w:trHeight w:val="340"/>
          <w:jc w:val="center"/>
        </w:trPr>
        <w:tc>
          <w:tcPr>
            <w:tcW w:w="2056" w:type="dxa"/>
            <w:gridSpan w:val="3"/>
            <w:shd w:val="clear" w:color="auto" w:fill="F3F3F3"/>
            <w:vAlign w:val="center"/>
          </w:tcPr>
          <w:p w14:paraId="41B8B470" w14:textId="77777777" w:rsidR="00EA0590" w:rsidRPr="0082465B" w:rsidRDefault="00EA0590" w:rsidP="00F6210E">
            <w:pPr>
              <w:jc w:val="left"/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Предложена тема се прихвата неизмењена</w:t>
            </w:r>
          </w:p>
        </w:tc>
        <w:tc>
          <w:tcPr>
            <w:tcW w:w="4794" w:type="dxa"/>
            <w:gridSpan w:val="3"/>
            <w:vAlign w:val="center"/>
          </w:tcPr>
          <w:p w14:paraId="65EF113D" w14:textId="77777777" w:rsidR="00EA0590" w:rsidRPr="0082465B" w:rsidRDefault="00EA0590" w:rsidP="008E1439">
            <w:pPr>
              <w:jc w:val="center"/>
              <w:rPr>
                <w:b/>
                <w:lang w:val="ru-RU"/>
              </w:rPr>
            </w:pPr>
            <w:r w:rsidRPr="0085067D">
              <w:rPr>
                <w:b/>
                <w:highlight w:val="yellow"/>
                <w:lang w:val="ru-RU"/>
              </w:rPr>
              <w:t>ДА</w:t>
            </w:r>
          </w:p>
        </w:tc>
        <w:tc>
          <w:tcPr>
            <w:tcW w:w="3941" w:type="dxa"/>
            <w:gridSpan w:val="4"/>
            <w:vAlign w:val="center"/>
          </w:tcPr>
          <w:p w14:paraId="1F754839" w14:textId="77777777" w:rsidR="00EA0590" w:rsidRPr="0082465B" w:rsidRDefault="00EA0590" w:rsidP="008E1439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НЕ</w:t>
            </w:r>
          </w:p>
        </w:tc>
      </w:tr>
      <w:tr w:rsidR="00EA0590" w:rsidRPr="0082465B" w14:paraId="6C546379" w14:textId="77777777" w:rsidTr="005F69BB">
        <w:trPr>
          <w:trHeight w:val="340"/>
          <w:jc w:val="center"/>
        </w:trPr>
        <w:tc>
          <w:tcPr>
            <w:tcW w:w="2056" w:type="dxa"/>
            <w:gridSpan w:val="3"/>
            <w:shd w:val="clear" w:color="auto" w:fill="F3F3F3"/>
            <w:vAlign w:val="center"/>
          </w:tcPr>
          <w:p w14:paraId="1DD7A13C" w14:textId="77777777" w:rsidR="00EA0590" w:rsidRPr="0082465B" w:rsidRDefault="00EA0590" w:rsidP="00F6210E">
            <w:pPr>
              <w:jc w:val="left"/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Коначан наслов теме докторске дисертације</w:t>
            </w:r>
          </w:p>
        </w:tc>
        <w:tc>
          <w:tcPr>
            <w:tcW w:w="8735" w:type="dxa"/>
            <w:gridSpan w:val="7"/>
            <w:vAlign w:val="center"/>
          </w:tcPr>
          <w:p w14:paraId="745141C0" w14:textId="77777777" w:rsidR="00EA0590" w:rsidRPr="0082465B" w:rsidRDefault="0085067D" w:rsidP="008506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Рефлексивна пракса и дигитална компетентност наставника</w:t>
            </w:r>
          </w:p>
        </w:tc>
      </w:tr>
      <w:tr w:rsidR="00EA0590" w:rsidRPr="0082465B" w14:paraId="4D230781" w14:textId="77777777" w:rsidTr="005F69BB">
        <w:trPr>
          <w:trHeight w:val="340"/>
          <w:jc w:val="center"/>
        </w:trPr>
        <w:tc>
          <w:tcPr>
            <w:tcW w:w="10791" w:type="dxa"/>
            <w:gridSpan w:val="10"/>
            <w:shd w:val="clear" w:color="auto" w:fill="D9D9D9"/>
            <w:vAlign w:val="center"/>
          </w:tcPr>
          <w:p w14:paraId="7C791B8E" w14:textId="77777777" w:rsidR="00EA0590" w:rsidRPr="0082465B" w:rsidRDefault="00EA0590" w:rsidP="008E1439">
            <w:pPr>
              <w:jc w:val="center"/>
              <w:rPr>
                <w:lang w:val="ru-RU"/>
              </w:rPr>
            </w:pPr>
            <w:r w:rsidRPr="0082465B">
              <w:rPr>
                <w:b/>
                <w:lang w:val="ru-RU"/>
              </w:rPr>
              <w:t xml:space="preserve">ЗАКЉУЧАК </w:t>
            </w:r>
            <w:r w:rsidRPr="0082465B">
              <w:rPr>
                <w:i/>
                <w:color w:val="808080"/>
                <w:lang w:val="ru-RU"/>
              </w:rPr>
              <w:t>(до 100 речи)</w:t>
            </w:r>
          </w:p>
        </w:tc>
      </w:tr>
      <w:tr w:rsidR="00EA0590" w:rsidRPr="0082465B" w14:paraId="60D111A6" w14:textId="77777777" w:rsidTr="005F69BB">
        <w:trPr>
          <w:trHeight w:val="340"/>
          <w:jc w:val="center"/>
        </w:trPr>
        <w:tc>
          <w:tcPr>
            <w:tcW w:w="10791" w:type="dxa"/>
            <w:gridSpan w:val="10"/>
            <w:tcBorders>
              <w:bottom w:val="single" w:sz="4" w:space="0" w:color="C0C0C0"/>
            </w:tcBorders>
            <w:vAlign w:val="center"/>
          </w:tcPr>
          <w:p w14:paraId="53E3AF83" w14:textId="1CECBF22" w:rsidR="005F69BB" w:rsidRPr="00F6210E" w:rsidRDefault="0085067D" w:rsidP="00F6210E">
            <w:r>
              <w:t>Рефлексивна пракса и дигитална компетентност кохерентан су сегмент наставничког позива. Употреба дигиталних технологија за рефлексивну праксу и истраживачки рад наставника нужна је потреба прилагођавања друштвеним променама. Стручно усавршавање наставника би требало бити у складу са компетенцијама које одговарају потребама савременог образовања, и из тог разлога, у последњој деценији овог века проблематика дигиталне компетентности постаје главни фокус проучавања. Актуелност истраживања повезаности рефлексивне праксе и дигиталних компетенција наставника проистиче из чињенице да се у последњим годинама у нашој земљи акценат ставља на потребу за модернизацијом и дигитализацијом наставног процеса, како би васпитно-образовни рад био у складу са савременим трендовима и примерима рефлексивне праксе развијенијих земаља света које су процес дигитализације наставе одавно покренуле. Такође, увидом у степен дигиталне компетентности и рефлексивног поступања може се континуирано пратити стање и евентуални напредак у том погледу. Импликације истраживања указаће на потребу да се формира стратешки приступ дигиталног описмењивања наставника и рефлексивног поступања који ће допринети унапређивању васпитно-oбразовне праксе.</w:t>
            </w:r>
          </w:p>
        </w:tc>
      </w:tr>
      <w:tr w:rsidR="00EA0590" w:rsidRPr="0082465B" w14:paraId="2185E08B" w14:textId="77777777" w:rsidTr="005F69BB">
        <w:trPr>
          <w:trHeight w:val="340"/>
          <w:jc w:val="center"/>
        </w:trPr>
        <w:tc>
          <w:tcPr>
            <w:tcW w:w="10791" w:type="dxa"/>
            <w:gridSpan w:val="10"/>
            <w:shd w:val="clear" w:color="auto" w:fill="D9D9D9"/>
            <w:vAlign w:val="center"/>
          </w:tcPr>
          <w:p w14:paraId="4F9EFE12" w14:textId="77777777" w:rsidR="00EA0590" w:rsidRPr="00F6210E" w:rsidRDefault="00EA0590" w:rsidP="008E1439">
            <w:pPr>
              <w:jc w:val="center"/>
              <w:rPr>
                <w:b/>
                <w:lang w:val="ru-RU"/>
              </w:rPr>
            </w:pPr>
            <w:r w:rsidRPr="00F6210E">
              <w:rPr>
                <w:b/>
                <w:lang w:val="ru-RU"/>
              </w:rPr>
              <w:lastRenderedPageBreak/>
              <w:t>ПОДАЦИ О КОМИСИЈИ</w:t>
            </w:r>
          </w:p>
        </w:tc>
      </w:tr>
      <w:tr w:rsidR="00EA0590" w:rsidRPr="0082465B" w14:paraId="6B7055D1" w14:textId="77777777" w:rsidTr="005F69BB">
        <w:trPr>
          <w:trHeight w:val="340"/>
          <w:jc w:val="center"/>
        </w:trPr>
        <w:tc>
          <w:tcPr>
            <w:tcW w:w="3431" w:type="dxa"/>
            <w:gridSpan w:val="4"/>
            <w:shd w:val="clear" w:color="auto" w:fill="F3F3F3"/>
            <w:vAlign w:val="center"/>
          </w:tcPr>
          <w:p w14:paraId="2803EC78" w14:textId="77777777" w:rsidR="00EA0590" w:rsidRPr="0082465B" w:rsidRDefault="00EA0590" w:rsidP="008E1439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Број одлуке Н</w:t>
            </w:r>
            <w:r w:rsidR="003A1891">
              <w:rPr>
                <w:sz w:val="18"/>
                <w:szCs w:val="18"/>
                <w:lang w:val="ru-RU"/>
              </w:rPr>
              <w:t>С</w:t>
            </w:r>
            <w:r w:rsidRPr="0082465B">
              <w:rPr>
                <w:sz w:val="18"/>
                <w:szCs w:val="18"/>
                <w:lang w:val="ru-RU"/>
              </w:rPr>
              <w:t>В о именовању Комисије</w:t>
            </w:r>
          </w:p>
        </w:tc>
        <w:tc>
          <w:tcPr>
            <w:tcW w:w="7360" w:type="dxa"/>
            <w:gridSpan w:val="6"/>
            <w:shd w:val="clear" w:color="auto" w:fill="auto"/>
            <w:vAlign w:val="center"/>
          </w:tcPr>
          <w:p w14:paraId="3993855F" w14:textId="77777777" w:rsidR="00EA0590" w:rsidRPr="00F6210E" w:rsidRDefault="00C20CAA" w:rsidP="003A1891">
            <w:pPr>
              <w:rPr>
                <w:b/>
                <w:lang w:val="sr-Cyrl-RS"/>
              </w:rPr>
            </w:pPr>
            <w:r w:rsidRPr="00F6210E">
              <w:rPr>
                <w:b/>
                <w:lang w:val="sr-Cyrl-RS"/>
              </w:rPr>
              <w:t>8/18-01-007/21-019</w:t>
            </w:r>
          </w:p>
        </w:tc>
      </w:tr>
      <w:tr w:rsidR="00EA0590" w:rsidRPr="0082465B" w14:paraId="238A40EA" w14:textId="77777777" w:rsidTr="005F69BB">
        <w:trPr>
          <w:trHeight w:val="340"/>
          <w:jc w:val="center"/>
        </w:trPr>
        <w:tc>
          <w:tcPr>
            <w:tcW w:w="3431" w:type="dxa"/>
            <w:gridSpan w:val="4"/>
            <w:shd w:val="clear" w:color="auto" w:fill="F3F3F3"/>
            <w:vAlign w:val="center"/>
          </w:tcPr>
          <w:p w14:paraId="4F9917A1" w14:textId="77777777" w:rsidR="00EA0590" w:rsidRPr="0082465B" w:rsidRDefault="00EA0590" w:rsidP="008E1439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Датум именовања Комисије</w:t>
            </w:r>
          </w:p>
        </w:tc>
        <w:tc>
          <w:tcPr>
            <w:tcW w:w="7360" w:type="dxa"/>
            <w:gridSpan w:val="6"/>
            <w:shd w:val="clear" w:color="auto" w:fill="auto"/>
            <w:vAlign w:val="center"/>
          </w:tcPr>
          <w:p w14:paraId="3F2C5A20" w14:textId="77777777" w:rsidR="00EA0590" w:rsidRPr="00F6210E" w:rsidRDefault="00C20CAA" w:rsidP="007F37FA">
            <w:pPr>
              <w:rPr>
                <w:b/>
                <w:lang w:val="sr-Cyrl-RS"/>
              </w:rPr>
            </w:pPr>
            <w:r w:rsidRPr="00F6210E">
              <w:rPr>
                <w:b/>
                <w:lang w:val="sr-Latn-RS"/>
              </w:rPr>
              <w:t xml:space="preserve">17. 9. 2021. </w:t>
            </w:r>
            <w:r w:rsidRPr="00F6210E">
              <w:rPr>
                <w:b/>
                <w:lang w:val="sr-Cyrl-RS"/>
              </w:rPr>
              <w:t>године</w:t>
            </w:r>
          </w:p>
        </w:tc>
      </w:tr>
      <w:tr w:rsidR="00EA0590" w:rsidRPr="0082465B" w14:paraId="54B95DC8" w14:textId="77777777" w:rsidTr="005F69BB">
        <w:trPr>
          <w:trHeight w:val="340"/>
          <w:jc w:val="center"/>
        </w:trPr>
        <w:tc>
          <w:tcPr>
            <w:tcW w:w="552" w:type="dxa"/>
            <w:gridSpan w:val="2"/>
            <w:shd w:val="clear" w:color="auto" w:fill="F3F3F3"/>
            <w:vAlign w:val="center"/>
          </w:tcPr>
          <w:p w14:paraId="09E908D5" w14:textId="77777777" w:rsidR="00EA0590" w:rsidRPr="0082465B" w:rsidRDefault="00EA0590" w:rsidP="008E1439">
            <w:pPr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7918" w:type="dxa"/>
            <w:gridSpan w:val="5"/>
            <w:shd w:val="clear" w:color="auto" w:fill="auto"/>
            <w:vAlign w:val="center"/>
          </w:tcPr>
          <w:p w14:paraId="4C049338" w14:textId="77777777" w:rsidR="00EA0590" w:rsidRPr="00F6210E" w:rsidRDefault="00EA0590" w:rsidP="008E1439">
            <w:pPr>
              <w:jc w:val="center"/>
              <w:rPr>
                <w:b/>
                <w:lang w:val="ru-RU"/>
              </w:rPr>
            </w:pPr>
            <w:r w:rsidRPr="00F6210E">
              <w:rPr>
                <w:b/>
                <w:lang w:val="ru-RU"/>
              </w:rPr>
              <w:t>Име и презиме, звање</w:t>
            </w:r>
          </w:p>
        </w:tc>
        <w:tc>
          <w:tcPr>
            <w:tcW w:w="2321" w:type="dxa"/>
            <w:gridSpan w:val="3"/>
            <w:vAlign w:val="center"/>
          </w:tcPr>
          <w:p w14:paraId="66909BE4" w14:textId="77777777" w:rsidR="00EA0590" w:rsidRPr="0082465B" w:rsidRDefault="00EA0590" w:rsidP="008E1439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Потпис</w:t>
            </w:r>
          </w:p>
        </w:tc>
      </w:tr>
      <w:tr w:rsidR="00EA0590" w:rsidRPr="0082465B" w14:paraId="5D8746D5" w14:textId="77777777" w:rsidTr="005F69BB">
        <w:trPr>
          <w:trHeight w:val="340"/>
          <w:jc w:val="center"/>
        </w:trPr>
        <w:tc>
          <w:tcPr>
            <w:tcW w:w="552" w:type="dxa"/>
            <w:gridSpan w:val="2"/>
            <w:vMerge w:val="restart"/>
            <w:shd w:val="clear" w:color="auto" w:fill="F3F3F3"/>
            <w:vAlign w:val="center"/>
          </w:tcPr>
          <w:p w14:paraId="664FA755" w14:textId="77777777" w:rsidR="00EA0590" w:rsidRPr="0082465B" w:rsidRDefault="00EA0590" w:rsidP="008E1439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1.</w:t>
            </w:r>
          </w:p>
        </w:tc>
        <w:tc>
          <w:tcPr>
            <w:tcW w:w="6298" w:type="dxa"/>
            <w:gridSpan w:val="4"/>
            <w:shd w:val="clear" w:color="auto" w:fill="auto"/>
            <w:vAlign w:val="center"/>
          </w:tcPr>
          <w:p w14:paraId="18D35461" w14:textId="77777777" w:rsidR="0085067D" w:rsidRPr="00F6210E" w:rsidRDefault="0085067D" w:rsidP="008E1439">
            <w:pPr>
              <w:rPr>
                <w:lang w:val="sr-Cyrl-RS"/>
              </w:rPr>
            </w:pPr>
            <w:r w:rsidRPr="00F6210E">
              <w:rPr>
                <w:lang w:val="sr-Cyrl-RS"/>
              </w:rPr>
              <w:t>Проф. др Марина Матејевић</w:t>
            </w:r>
            <w:r w:rsidR="00FA7224" w:rsidRPr="00F6210E">
              <w:rPr>
                <w:lang w:val="sr-Cyrl-RS"/>
              </w:rPr>
              <w:t>, редовни професор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E58C14F" w14:textId="77777777" w:rsidR="00EA0590" w:rsidRPr="00F6210E" w:rsidRDefault="00EA0590" w:rsidP="008E1439">
            <w:pPr>
              <w:jc w:val="center"/>
              <w:rPr>
                <w:lang w:val="ru-RU"/>
              </w:rPr>
            </w:pPr>
            <w:r w:rsidRPr="00F6210E">
              <w:rPr>
                <w:lang w:val="ru-RU"/>
              </w:rPr>
              <w:t>председник</w:t>
            </w:r>
          </w:p>
        </w:tc>
        <w:tc>
          <w:tcPr>
            <w:tcW w:w="2321" w:type="dxa"/>
            <w:gridSpan w:val="3"/>
            <w:vMerge w:val="restart"/>
            <w:vAlign w:val="center"/>
          </w:tcPr>
          <w:p w14:paraId="2DFCFD1F" w14:textId="77777777" w:rsidR="00EA0590" w:rsidRPr="0082465B" w:rsidRDefault="00EA0590" w:rsidP="008E1439">
            <w:pPr>
              <w:rPr>
                <w:lang w:val="ru-RU"/>
              </w:rPr>
            </w:pPr>
          </w:p>
        </w:tc>
      </w:tr>
      <w:tr w:rsidR="00EA0590" w:rsidRPr="0082465B" w14:paraId="28260E5B" w14:textId="77777777" w:rsidTr="005F69BB">
        <w:trPr>
          <w:trHeight w:val="340"/>
          <w:jc w:val="center"/>
        </w:trPr>
        <w:tc>
          <w:tcPr>
            <w:tcW w:w="552" w:type="dxa"/>
            <w:gridSpan w:val="2"/>
            <w:vMerge/>
            <w:shd w:val="clear" w:color="auto" w:fill="F3F3F3"/>
            <w:vAlign w:val="center"/>
          </w:tcPr>
          <w:p w14:paraId="29B5388A" w14:textId="77777777" w:rsidR="00EA0590" w:rsidRPr="0082465B" w:rsidRDefault="00EA0590" w:rsidP="008E1439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3"/>
            <w:shd w:val="clear" w:color="auto" w:fill="auto"/>
            <w:vAlign w:val="center"/>
          </w:tcPr>
          <w:p w14:paraId="2846D3D6" w14:textId="77777777" w:rsidR="00EA0590" w:rsidRPr="00F6210E" w:rsidRDefault="0085067D" w:rsidP="003F7DC8">
            <w:pPr>
              <w:jc w:val="center"/>
              <w:rPr>
                <w:lang w:val="ru-RU"/>
              </w:rPr>
            </w:pPr>
            <w:r w:rsidRPr="00F6210E">
              <w:rPr>
                <w:lang w:val="ru-RU"/>
              </w:rPr>
              <w:t>Педагогија</w:t>
            </w:r>
          </w:p>
        </w:tc>
        <w:tc>
          <w:tcPr>
            <w:tcW w:w="4499" w:type="dxa"/>
            <w:gridSpan w:val="2"/>
            <w:shd w:val="clear" w:color="auto" w:fill="auto"/>
            <w:vAlign w:val="center"/>
          </w:tcPr>
          <w:p w14:paraId="40397A14" w14:textId="77777777" w:rsidR="00EA0590" w:rsidRPr="00F6210E" w:rsidRDefault="0085067D" w:rsidP="003F7DC8">
            <w:pPr>
              <w:rPr>
                <w:lang w:val="ru-RU"/>
              </w:rPr>
            </w:pPr>
            <w:r w:rsidRPr="00F6210E">
              <w:rPr>
                <w:lang w:val="ru-RU"/>
              </w:rPr>
              <w:t>Универзитет у Нишу</w:t>
            </w:r>
          </w:p>
          <w:p w14:paraId="780D3A16" w14:textId="77777777" w:rsidR="0085067D" w:rsidRPr="00F6210E" w:rsidRDefault="0085067D" w:rsidP="003F7DC8">
            <w:pPr>
              <w:rPr>
                <w:lang w:val="ru-RU"/>
              </w:rPr>
            </w:pPr>
            <w:r w:rsidRPr="00F6210E">
              <w:rPr>
                <w:lang w:val="ru-RU"/>
              </w:rPr>
              <w:t>Филозофски факултет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2E7A629E" w14:textId="77777777" w:rsidR="00EA0590" w:rsidRPr="0082465B" w:rsidRDefault="00EA0590" w:rsidP="008E1439">
            <w:pPr>
              <w:rPr>
                <w:lang w:val="ru-RU"/>
              </w:rPr>
            </w:pPr>
          </w:p>
        </w:tc>
      </w:tr>
      <w:tr w:rsidR="00EA0590" w:rsidRPr="0082465B" w14:paraId="58DDAA21" w14:textId="77777777" w:rsidTr="005F69BB">
        <w:trPr>
          <w:trHeight w:val="227"/>
          <w:jc w:val="center"/>
        </w:trPr>
        <w:tc>
          <w:tcPr>
            <w:tcW w:w="552" w:type="dxa"/>
            <w:gridSpan w:val="2"/>
            <w:vMerge/>
            <w:shd w:val="clear" w:color="auto" w:fill="F3F3F3"/>
            <w:vAlign w:val="center"/>
          </w:tcPr>
          <w:p w14:paraId="5701936C" w14:textId="77777777" w:rsidR="00EA0590" w:rsidRPr="0082465B" w:rsidRDefault="00EA0590" w:rsidP="008E1439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3"/>
            <w:shd w:val="clear" w:color="auto" w:fill="auto"/>
            <w:vAlign w:val="center"/>
          </w:tcPr>
          <w:p w14:paraId="72817252" w14:textId="77777777" w:rsidR="00EA0590" w:rsidRPr="00F6210E" w:rsidRDefault="00EA0590" w:rsidP="008E1439">
            <w:pPr>
              <w:jc w:val="center"/>
              <w:rPr>
                <w:color w:val="999999"/>
                <w:lang w:val="ru-RU"/>
              </w:rPr>
            </w:pPr>
            <w:r w:rsidRPr="00F6210E">
              <w:rPr>
                <w:color w:val="999999"/>
                <w:lang w:val="ru-RU"/>
              </w:rPr>
              <w:t>(Научна област)</w:t>
            </w:r>
          </w:p>
        </w:tc>
        <w:tc>
          <w:tcPr>
            <w:tcW w:w="4499" w:type="dxa"/>
            <w:gridSpan w:val="2"/>
            <w:shd w:val="clear" w:color="auto" w:fill="auto"/>
            <w:vAlign w:val="center"/>
          </w:tcPr>
          <w:p w14:paraId="6B0B96B1" w14:textId="77777777" w:rsidR="00EA0590" w:rsidRPr="00F6210E" w:rsidRDefault="00EA0590" w:rsidP="003F7DC8">
            <w:pPr>
              <w:rPr>
                <w:color w:val="999999"/>
                <w:lang w:val="ru-RU"/>
              </w:rPr>
            </w:pPr>
            <w:r w:rsidRPr="00F6210E">
              <w:rPr>
                <w:color w:val="999999"/>
                <w:lang w:val="ru-RU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36A0FB83" w14:textId="77777777" w:rsidR="00EA0590" w:rsidRPr="0082465B" w:rsidRDefault="00EA0590" w:rsidP="008E1439">
            <w:pPr>
              <w:rPr>
                <w:lang w:val="ru-RU"/>
              </w:rPr>
            </w:pPr>
          </w:p>
        </w:tc>
      </w:tr>
      <w:tr w:rsidR="00EA0590" w:rsidRPr="0082465B" w14:paraId="0EE67938" w14:textId="77777777" w:rsidTr="005F69BB">
        <w:trPr>
          <w:trHeight w:val="340"/>
          <w:jc w:val="center"/>
        </w:trPr>
        <w:tc>
          <w:tcPr>
            <w:tcW w:w="552" w:type="dxa"/>
            <w:gridSpan w:val="2"/>
            <w:vMerge w:val="restart"/>
            <w:shd w:val="clear" w:color="auto" w:fill="F3F3F3"/>
            <w:vAlign w:val="center"/>
          </w:tcPr>
          <w:p w14:paraId="4AD49026" w14:textId="77777777" w:rsidR="00EA0590" w:rsidRPr="0082465B" w:rsidRDefault="00EA0590" w:rsidP="008E1439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2.</w:t>
            </w:r>
          </w:p>
        </w:tc>
        <w:tc>
          <w:tcPr>
            <w:tcW w:w="6298" w:type="dxa"/>
            <w:gridSpan w:val="4"/>
            <w:shd w:val="clear" w:color="auto" w:fill="auto"/>
            <w:vAlign w:val="center"/>
          </w:tcPr>
          <w:p w14:paraId="57AAEBAD" w14:textId="77777777" w:rsidR="00EA0590" w:rsidRPr="00F6210E" w:rsidRDefault="0085067D" w:rsidP="008E1439">
            <w:pPr>
              <w:rPr>
                <w:lang w:val="ru-RU"/>
              </w:rPr>
            </w:pPr>
            <w:r w:rsidRPr="00F6210E">
              <w:rPr>
                <w:lang w:val="ru-RU"/>
              </w:rPr>
              <w:t>Проф. др Јелена Максимовић</w:t>
            </w:r>
            <w:r w:rsidR="00FA7224" w:rsidRPr="00F6210E">
              <w:rPr>
                <w:lang w:val="ru-RU"/>
              </w:rPr>
              <w:t>, редовни професор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3203EF0" w14:textId="77777777" w:rsidR="00EA0590" w:rsidRPr="00F6210E" w:rsidRDefault="00EA0590" w:rsidP="008E1439">
            <w:pPr>
              <w:jc w:val="center"/>
              <w:rPr>
                <w:lang w:val="ru-RU"/>
              </w:rPr>
            </w:pPr>
            <w:r w:rsidRPr="00F6210E">
              <w:rPr>
                <w:lang w:val="ru-RU"/>
              </w:rPr>
              <w:t>ментор, члан</w:t>
            </w:r>
          </w:p>
        </w:tc>
        <w:tc>
          <w:tcPr>
            <w:tcW w:w="2321" w:type="dxa"/>
            <w:gridSpan w:val="3"/>
            <w:vMerge w:val="restart"/>
            <w:vAlign w:val="center"/>
          </w:tcPr>
          <w:p w14:paraId="171B5708" w14:textId="77777777" w:rsidR="00EA0590" w:rsidRPr="0082465B" w:rsidRDefault="00EA0590" w:rsidP="008E1439">
            <w:pPr>
              <w:rPr>
                <w:lang w:val="ru-RU"/>
              </w:rPr>
            </w:pPr>
          </w:p>
        </w:tc>
      </w:tr>
      <w:tr w:rsidR="0085067D" w:rsidRPr="0082465B" w14:paraId="518979FB" w14:textId="77777777" w:rsidTr="005F69BB">
        <w:trPr>
          <w:trHeight w:val="340"/>
          <w:jc w:val="center"/>
        </w:trPr>
        <w:tc>
          <w:tcPr>
            <w:tcW w:w="552" w:type="dxa"/>
            <w:gridSpan w:val="2"/>
            <w:vMerge/>
            <w:shd w:val="clear" w:color="auto" w:fill="F3F3F3"/>
            <w:vAlign w:val="center"/>
          </w:tcPr>
          <w:p w14:paraId="3AC50C5F" w14:textId="77777777" w:rsidR="0085067D" w:rsidRPr="0082465B" w:rsidRDefault="0085067D" w:rsidP="0085067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3"/>
            <w:shd w:val="clear" w:color="auto" w:fill="auto"/>
            <w:vAlign w:val="center"/>
          </w:tcPr>
          <w:p w14:paraId="347866BD" w14:textId="77777777" w:rsidR="0085067D" w:rsidRPr="00F6210E" w:rsidRDefault="0085067D" w:rsidP="003F7DC8">
            <w:pPr>
              <w:jc w:val="center"/>
              <w:rPr>
                <w:lang w:val="ru-RU"/>
              </w:rPr>
            </w:pPr>
            <w:r w:rsidRPr="00F6210E">
              <w:rPr>
                <w:lang w:val="ru-RU"/>
              </w:rPr>
              <w:t>Педагогија</w:t>
            </w:r>
          </w:p>
        </w:tc>
        <w:tc>
          <w:tcPr>
            <w:tcW w:w="4499" w:type="dxa"/>
            <w:gridSpan w:val="2"/>
            <w:shd w:val="clear" w:color="auto" w:fill="auto"/>
            <w:vAlign w:val="center"/>
          </w:tcPr>
          <w:p w14:paraId="0A0A2C6B" w14:textId="77777777" w:rsidR="0085067D" w:rsidRPr="00F6210E" w:rsidRDefault="0085067D" w:rsidP="0085067D">
            <w:pPr>
              <w:rPr>
                <w:lang w:val="ru-RU"/>
              </w:rPr>
            </w:pPr>
            <w:r w:rsidRPr="00F6210E">
              <w:rPr>
                <w:lang w:val="ru-RU"/>
              </w:rPr>
              <w:t>Универзитет у Нишу</w:t>
            </w:r>
          </w:p>
          <w:p w14:paraId="4356AA7C" w14:textId="77777777" w:rsidR="0085067D" w:rsidRPr="00F6210E" w:rsidRDefault="0085067D" w:rsidP="0085067D">
            <w:pPr>
              <w:rPr>
                <w:lang w:val="ru-RU"/>
              </w:rPr>
            </w:pPr>
            <w:r w:rsidRPr="00F6210E">
              <w:rPr>
                <w:lang w:val="ru-RU"/>
              </w:rPr>
              <w:t>Филозофски факултет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6ED737ED" w14:textId="77777777" w:rsidR="0085067D" w:rsidRPr="0082465B" w:rsidRDefault="0085067D" w:rsidP="0085067D">
            <w:pPr>
              <w:rPr>
                <w:lang w:val="ru-RU"/>
              </w:rPr>
            </w:pPr>
          </w:p>
        </w:tc>
      </w:tr>
      <w:tr w:rsidR="0085067D" w:rsidRPr="0082465B" w14:paraId="521CCCEF" w14:textId="77777777" w:rsidTr="005F69BB">
        <w:trPr>
          <w:trHeight w:val="227"/>
          <w:jc w:val="center"/>
        </w:trPr>
        <w:tc>
          <w:tcPr>
            <w:tcW w:w="552" w:type="dxa"/>
            <w:gridSpan w:val="2"/>
            <w:vMerge/>
            <w:shd w:val="clear" w:color="auto" w:fill="F3F3F3"/>
            <w:vAlign w:val="center"/>
          </w:tcPr>
          <w:p w14:paraId="221967D4" w14:textId="77777777" w:rsidR="0085067D" w:rsidRPr="0082465B" w:rsidRDefault="0085067D" w:rsidP="0085067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3"/>
            <w:shd w:val="clear" w:color="auto" w:fill="auto"/>
            <w:vAlign w:val="center"/>
          </w:tcPr>
          <w:p w14:paraId="43B0FB18" w14:textId="77777777" w:rsidR="0085067D" w:rsidRPr="00F6210E" w:rsidRDefault="0085067D" w:rsidP="0085067D">
            <w:pPr>
              <w:jc w:val="center"/>
              <w:rPr>
                <w:color w:val="999999"/>
                <w:lang w:val="ru-RU"/>
              </w:rPr>
            </w:pPr>
            <w:r w:rsidRPr="00F6210E">
              <w:rPr>
                <w:color w:val="999999"/>
                <w:lang w:val="ru-RU"/>
              </w:rPr>
              <w:t>(Научна област)</w:t>
            </w:r>
          </w:p>
        </w:tc>
        <w:tc>
          <w:tcPr>
            <w:tcW w:w="4499" w:type="dxa"/>
            <w:gridSpan w:val="2"/>
            <w:shd w:val="clear" w:color="auto" w:fill="auto"/>
            <w:vAlign w:val="center"/>
          </w:tcPr>
          <w:p w14:paraId="779DA1B4" w14:textId="77777777" w:rsidR="0085067D" w:rsidRPr="00F6210E" w:rsidRDefault="0085067D" w:rsidP="003F7DC8">
            <w:pPr>
              <w:rPr>
                <w:color w:val="999999"/>
                <w:lang w:val="ru-RU"/>
              </w:rPr>
            </w:pPr>
            <w:r w:rsidRPr="00F6210E">
              <w:rPr>
                <w:color w:val="999999"/>
                <w:lang w:val="ru-RU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75517C5C" w14:textId="77777777" w:rsidR="0085067D" w:rsidRPr="0082465B" w:rsidRDefault="0085067D" w:rsidP="0085067D">
            <w:pPr>
              <w:rPr>
                <w:lang w:val="ru-RU"/>
              </w:rPr>
            </w:pPr>
          </w:p>
        </w:tc>
      </w:tr>
      <w:tr w:rsidR="0085067D" w:rsidRPr="0082465B" w14:paraId="19F9C05B" w14:textId="77777777" w:rsidTr="005F69BB">
        <w:trPr>
          <w:trHeight w:val="340"/>
          <w:jc w:val="center"/>
        </w:trPr>
        <w:tc>
          <w:tcPr>
            <w:tcW w:w="552" w:type="dxa"/>
            <w:gridSpan w:val="2"/>
            <w:vMerge w:val="restart"/>
            <w:shd w:val="clear" w:color="auto" w:fill="F3F3F3"/>
            <w:vAlign w:val="center"/>
          </w:tcPr>
          <w:p w14:paraId="35EEBBE0" w14:textId="77777777" w:rsidR="0085067D" w:rsidRPr="0082465B" w:rsidRDefault="0085067D" w:rsidP="0085067D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3.</w:t>
            </w:r>
          </w:p>
        </w:tc>
        <w:tc>
          <w:tcPr>
            <w:tcW w:w="6298" w:type="dxa"/>
            <w:gridSpan w:val="4"/>
            <w:shd w:val="clear" w:color="auto" w:fill="auto"/>
            <w:vAlign w:val="center"/>
          </w:tcPr>
          <w:p w14:paraId="22AA4C0E" w14:textId="77777777" w:rsidR="0085067D" w:rsidRPr="00F6210E" w:rsidRDefault="00FA7224" w:rsidP="0085067D">
            <w:pPr>
              <w:rPr>
                <w:lang w:val="ru-RU"/>
              </w:rPr>
            </w:pPr>
            <w:r w:rsidRPr="00F6210E">
              <w:rPr>
                <w:lang w:val="sr-Cyrl-RS"/>
              </w:rPr>
              <w:t xml:space="preserve">Проф. </w:t>
            </w:r>
            <w:r w:rsidRPr="00F6210E">
              <w:rPr>
                <w:lang w:val="ru-RU"/>
              </w:rPr>
              <w:t>др Биљана Новковић Цветковић, ванредни професор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A347A17" w14:textId="77777777" w:rsidR="0085067D" w:rsidRPr="00F6210E" w:rsidRDefault="0085067D" w:rsidP="0085067D">
            <w:pPr>
              <w:jc w:val="center"/>
              <w:rPr>
                <w:lang w:val="ru-RU"/>
              </w:rPr>
            </w:pPr>
            <w:r w:rsidRPr="00F6210E">
              <w:rPr>
                <w:lang w:val="ru-RU"/>
              </w:rPr>
              <w:t>члан</w:t>
            </w:r>
          </w:p>
        </w:tc>
        <w:tc>
          <w:tcPr>
            <w:tcW w:w="2321" w:type="dxa"/>
            <w:gridSpan w:val="3"/>
            <w:vMerge w:val="restart"/>
            <w:vAlign w:val="center"/>
          </w:tcPr>
          <w:p w14:paraId="4A3CCFB9" w14:textId="77777777" w:rsidR="0085067D" w:rsidRPr="0082465B" w:rsidRDefault="0085067D" w:rsidP="0085067D">
            <w:pPr>
              <w:rPr>
                <w:lang w:val="ru-RU"/>
              </w:rPr>
            </w:pPr>
          </w:p>
        </w:tc>
      </w:tr>
      <w:tr w:rsidR="0085067D" w:rsidRPr="0082465B" w14:paraId="103413AF" w14:textId="77777777" w:rsidTr="005F69BB">
        <w:trPr>
          <w:trHeight w:val="340"/>
          <w:jc w:val="center"/>
        </w:trPr>
        <w:tc>
          <w:tcPr>
            <w:tcW w:w="552" w:type="dxa"/>
            <w:gridSpan w:val="2"/>
            <w:vMerge/>
            <w:shd w:val="clear" w:color="auto" w:fill="F3F3F3"/>
            <w:vAlign w:val="center"/>
          </w:tcPr>
          <w:p w14:paraId="1D5515DD" w14:textId="77777777" w:rsidR="0085067D" w:rsidRPr="0082465B" w:rsidRDefault="0085067D" w:rsidP="0085067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3"/>
            <w:shd w:val="clear" w:color="auto" w:fill="auto"/>
            <w:vAlign w:val="center"/>
          </w:tcPr>
          <w:p w14:paraId="6434789A" w14:textId="77777777" w:rsidR="0085067D" w:rsidRPr="00F6210E" w:rsidRDefault="00FA7224" w:rsidP="003F7DC8">
            <w:pPr>
              <w:jc w:val="center"/>
              <w:rPr>
                <w:lang w:val="ru-RU"/>
              </w:rPr>
            </w:pPr>
            <w:r w:rsidRPr="00F6210E">
              <w:rPr>
                <w:lang w:val="ru-RU"/>
              </w:rPr>
              <w:t>Педагогија</w:t>
            </w:r>
          </w:p>
        </w:tc>
        <w:tc>
          <w:tcPr>
            <w:tcW w:w="4499" w:type="dxa"/>
            <w:gridSpan w:val="2"/>
            <w:shd w:val="clear" w:color="auto" w:fill="auto"/>
            <w:vAlign w:val="center"/>
          </w:tcPr>
          <w:p w14:paraId="4C03AA6D" w14:textId="77777777" w:rsidR="0085067D" w:rsidRPr="00F6210E" w:rsidRDefault="00FA7224" w:rsidP="0085067D">
            <w:pPr>
              <w:rPr>
                <w:lang w:val="ru-RU"/>
              </w:rPr>
            </w:pPr>
            <w:r w:rsidRPr="00F6210E">
              <w:rPr>
                <w:lang w:val="ru-RU"/>
              </w:rPr>
              <w:t>Универзитет у Нишу</w:t>
            </w:r>
          </w:p>
          <w:p w14:paraId="43ADE273" w14:textId="77777777" w:rsidR="00FA7224" w:rsidRPr="00F6210E" w:rsidRDefault="00FA7224" w:rsidP="0085067D">
            <w:pPr>
              <w:rPr>
                <w:lang w:val="ru-RU"/>
              </w:rPr>
            </w:pPr>
            <w:r w:rsidRPr="00F6210E">
              <w:rPr>
                <w:lang w:val="ru-RU"/>
              </w:rPr>
              <w:t>Педагошки факултет у Врању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00D5413B" w14:textId="77777777" w:rsidR="0085067D" w:rsidRPr="0082465B" w:rsidRDefault="0085067D" w:rsidP="0085067D">
            <w:pPr>
              <w:rPr>
                <w:lang w:val="ru-RU"/>
              </w:rPr>
            </w:pPr>
          </w:p>
        </w:tc>
      </w:tr>
      <w:tr w:rsidR="0085067D" w:rsidRPr="0082465B" w14:paraId="09DCBF0C" w14:textId="77777777" w:rsidTr="005F69BB">
        <w:trPr>
          <w:trHeight w:val="227"/>
          <w:jc w:val="center"/>
        </w:trPr>
        <w:tc>
          <w:tcPr>
            <w:tcW w:w="552" w:type="dxa"/>
            <w:gridSpan w:val="2"/>
            <w:vMerge/>
            <w:shd w:val="clear" w:color="auto" w:fill="F3F3F3"/>
            <w:vAlign w:val="center"/>
          </w:tcPr>
          <w:p w14:paraId="38E3CA3C" w14:textId="77777777" w:rsidR="0085067D" w:rsidRPr="0082465B" w:rsidRDefault="0085067D" w:rsidP="0085067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3"/>
            <w:shd w:val="clear" w:color="auto" w:fill="auto"/>
            <w:vAlign w:val="center"/>
          </w:tcPr>
          <w:p w14:paraId="15D244D7" w14:textId="77777777" w:rsidR="0085067D" w:rsidRPr="00F6210E" w:rsidRDefault="0085067D" w:rsidP="0085067D">
            <w:pPr>
              <w:jc w:val="center"/>
              <w:rPr>
                <w:color w:val="999999"/>
                <w:lang w:val="ru-RU"/>
              </w:rPr>
            </w:pPr>
            <w:r w:rsidRPr="00F6210E">
              <w:rPr>
                <w:color w:val="999999"/>
                <w:lang w:val="ru-RU"/>
              </w:rPr>
              <w:t>(Научна област)</w:t>
            </w:r>
          </w:p>
        </w:tc>
        <w:tc>
          <w:tcPr>
            <w:tcW w:w="4499" w:type="dxa"/>
            <w:gridSpan w:val="2"/>
            <w:shd w:val="clear" w:color="auto" w:fill="auto"/>
            <w:vAlign w:val="center"/>
          </w:tcPr>
          <w:p w14:paraId="3EA7B097" w14:textId="77777777" w:rsidR="0085067D" w:rsidRPr="00F6210E" w:rsidRDefault="0085067D" w:rsidP="003F7DC8">
            <w:pPr>
              <w:rPr>
                <w:color w:val="999999"/>
                <w:lang w:val="ru-RU"/>
              </w:rPr>
            </w:pPr>
            <w:r w:rsidRPr="00F6210E">
              <w:rPr>
                <w:color w:val="999999"/>
                <w:lang w:val="ru-RU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422E6B72" w14:textId="77777777" w:rsidR="0085067D" w:rsidRPr="0082465B" w:rsidRDefault="0085067D" w:rsidP="0085067D">
            <w:pPr>
              <w:rPr>
                <w:lang w:val="ru-RU"/>
              </w:rPr>
            </w:pPr>
          </w:p>
        </w:tc>
      </w:tr>
      <w:tr w:rsidR="0085067D" w:rsidRPr="0082465B" w14:paraId="5F49539A" w14:textId="77777777" w:rsidTr="005F69BB">
        <w:trPr>
          <w:trHeight w:val="340"/>
          <w:jc w:val="center"/>
        </w:trPr>
        <w:tc>
          <w:tcPr>
            <w:tcW w:w="10791" w:type="dxa"/>
            <w:gridSpan w:val="10"/>
          </w:tcPr>
          <w:tbl>
            <w:tblPr>
              <w:tblW w:w="10786" w:type="dxa"/>
              <w:jc w:val="center"/>
              <w:tblBorders>
                <w:top w:val="single" w:sz="4" w:space="0" w:color="C0C0C0"/>
                <w:left w:val="single" w:sz="4" w:space="0" w:color="C0C0C0"/>
                <w:bottom w:val="single" w:sz="4" w:space="0" w:color="C0C0C0"/>
                <w:right w:val="single" w:sz="4" w:space="0" w:color="C0C0C0"/>
                <w:insideH w:val="single" w:sz="4" w:space="0" w:color="C0C0C0"/>
                <w:insideV w:val="single" w:sz="4" w:space="0" w:color="C0C0C0"/>
              </w:tblBorders>
              <w:tblLayout w:type="fixed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547"/>
              <w:gridCol w:w="3419"/>
              <w:gridCol w:w="2879"/>
              <w:gridCol w:w="1620"/>
              <w:gridCol w:w="2321"/>
            </w:tblGrid>
            <w:tr w:rsidR="003939CA" w:rsidRPr="0082465B" w14:paraId="4AE2691B" w14:textId="77777777" w:rsidTr="003939CA">
              <w:trPr>
                <w:trHeight w:val="340"/>
                <w:jc w:val="center"/>
              </w:trPr>
              <w:tc>
                <w:tcPr>
                  <w:tcW w:w="547" w:type="dxa"/>
                  <w:vMerge w:val="restart"/>
                  <w:shd w:val="clear" w:color="auto" w:fill="F3F3F3"/>
                  <w:vAlign w:val="center"/>
                </w:tcPr>
                <w:p w14:paraId="7499DF89" w14:textId="44BEDC4B" w:rsidR="003939CA" w:rsidRPr="0082465B" w:rsidRDefault="003F7DC8" w:rsidP="003939CA">
                  <w:pPr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>
                    <w:rPr>
                      <w:sz w:val="18"/>
                      <w:szCs w:val="18"/>
                      <w:lang w:val="ru-RU"/>
                    </w:rPr>
                    <w:t>4</w:t>
                  </w:r>
                  <w:r w:rsidR="003939CA" w:rsidRPr="0082465B">
                    <w:rPr>
                      <w:sz w:val="18"/>
                      <w:szCs w:val="18"/>
                      <w:lang w:val="ru-RU"/>
                    </w:rPr>
                    <w:t>.</w:t>
                  </w:r>
                </w:p>
              </w:tc>
              <w:tc>
                <w:tcPr>
                  <w:tcW w:w="6298" w:type="dxa"/>
                  <w:gridSpan w:val="2"/>
                  <w:shd w:val="clear" w:color="auto" w:fill="auto"/>
                  <w:vAlign w:val="center"/>
                </w:tcPr>
                <w:p w14:paraId="4E21831B" w14:textId="77777777" w:rsidR="003939CA" w:rsidRPr="00F6210E" w:rsidRDefault="003939CA" w:rsidP="003939CA">
                  <w:pPr>
                    <w:rPr>
                      <w:lang w:val="ru-RU"/>
                    </w:rPr>
                  </w:pPr>
                  <w:r w:rsidRPr="00F6210E">
                    <w:rPr>
                      <w:lang w:val="sr-Cyrl-RS"/>
                    </w:rPr>
                    <w:t xml:space="preserve">Проф. </w:t>
                  </w:r>
                  <w:r w:rsidRPr="00F6210E">
                    <w:rPr>
                      <w:lang w:val="ru-RU"/>
                    </w:rPr>
                    <w:t xml:space="preserve">др Биљана </w:t>
                  </w:r>
                  <w:r>
                    <w:rPr>
                      <w:lang w:val="sr-Cyrl-RS"/>
                    </w:rPr>
                    <w:t>Стојановић</w:t>
                  </w:r>
                  <w:r w:rsidRPr="00F6210E">
                    <w:rPr>
                      <w:lang w:val="ru-RU"/>
                    </w:rPr>
                    <w:t>, ванредни професор</w:t>
                  </w:r>
                </w:p>
              </w:tc>
              <w:tc>
                <w:tcPr>
                  <w:tcW w:w="1620" w:type="dxa"/>
                  <w:shd w:val="clear" w:color="auto" w:fill="auto"/>
                  <w:vAlign w:val="center"/>
                </w:tcPr>
                <w:p w14:paraId="76AF71DB" w14:textId="77777777" w:rsidR="003939CA" w:rsidRPr="00F6210E" w:rsidRDefault="003939CA" w:rsidP="003939CA">
                  <w:pPr>
                    <w:jc w:val="center"/>
                    <w:rPr>
                      <w:lang w:val="ru-RU"/>
                    </w:rPr>
                  </w:pPr>
                  <w:r w:rsidRPr="00F6210E">
                    <w:rPr>
                      <w:lang w:val="ru-RU"/>
                    </w:rPr>
                    <w:t>члан</w:t>
                  </w:r>
                </w:p>
              </w:tc>
              <w:tc>
                <w:tcPr>
                  <w:tcW w:w="2321" w:type="dxa"/>
                  <w:vMerge w:val="restart"/>
                  <w:vAlign w:val="center"/>
                </w:tcPr>
                <w:p w14:paraId="43AFD099" w14:textId="77777777" w:rsidR="003939CA" w:rsidRPr="0082465B" w:rsidRDefault="003939CA" w:rsidP="003939CA">
                  <w:pPr>
                    <w:rPr>
                      <w:lang w:val="ru-RU"/>
                    </w:rPr>
                  </w:pPr>
                </w:p>
              </w:tc>
            </w:tr>
            <w:tr w:rsidR="003939CA" w:rsidRPr="0082465B" w14:paraId="587EC672" w14:textId="77777777" w:rsidTr="003939CA">
              <w:trPr>
                <w:trHeight w:val="340"/>
                <w:jc w:val="center"/>
              </w:trPr>
              <w:tc>
                <w:tcPr>
                  <w:tcW w:w="547" w:type="dxa"/>
                  <w:vMerge/>
                  <w:shd w:val="clear" w:color="auto" w:fill="F3F3F3"/>
                  <w:vAlign w:val="center"/>
                </w:tcPr>
                <w:p w14:paraId="6AE6FD62" w14:textId="77777777" w:rsidR="003939CA" w:rsidRPr="0082465B" w:rsidRDefault="003939CA" w:rsidP="003939CA">
                  <w:pPr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3419" w:type="dxa"/>
                  <w:shd w:val="clear" w:color="auto" w:fill="auto"/>
                  <w:vAlign w:val="center"/>
                </w:tcPr>
                <w:p w14:paraId="3A938ADE" w14:textId="77777777" w:rsidR="003939CA" w:rsidRPr="00F6210E" w:rsidRDefault="003939CA" w:rsidP="003F7DC8">
                  <w:pPr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Дидактика са методиком</w:t>
                  </w:r>
                </w:p>
              </w:tc>
              <w:tc>
                <w:tcPr>
                  <w:tcW w:w="4499" w:type="dxa"/>
                  <w:gridSpan w:val="2"/>
                  <w:shd w:val="clear" w:color="auto" w:fill="auto"/>
                  <w:vAlign w:val="center"/>
                </w:tcPr>
                <w:p w14:paraId="494340A3" w14:textId="77777777" w:rsidR="003939CA" w:rsidRPr="00F6210E" w:rsidRDefault="003939CA" w:rsidP="003939CA">
                  <w:pPr>
                    <w:rPr>
                      <w:lang w:val="ru-RU"/>
                    </w:rPr>
                  </w:pPr>
                  <w:r w:rsidRPr="00F6210E">
                    <w:rPr>
                      <w:lang w:val="ru-RU"/>
                    </w:rPr>
                    <w:t>Универзитет у</w:t>
                  </w:r>
                  <w:r>
                    <w:rPr>
                      <w:lang w:val="ru-RU"/>
                    </w:rPr>
                    <w:t xml:space="preserve"> Крагујевцу</w:t>
                  </w:r>
                </w:p>
                <w:p w14:paraId="34138CD3" w14:textId="77777777" w:rsidR="003939CA" w:rsidRPr="00F6210E" w:rsidRDefault="003939CA" w:rsidP="003939CA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Ф</w:t>
                  </w:r>
                  <w:r w:rsidRPr="00F6210E">
                    <w:rPr>
                      <w:lang w:val="ru-RU"/>
                    </w:rPr>
                    <w:t xml:space="preserve">акултет </w:t>
                  </w:r>
                  <w:r>
                    <w:rPr>
                      <w:lang w:val="ru-RU"/>
                    </w:rPr>
                    <w:t xml:space="preserve">педагошких наука </w:t>
                  </w:r>
                  <w:r w:rsidRPr="00F6210E">
                    <w:rPr>
                      <w:lang w:val="ru-RU"/>
                    </w:rPr>
                    <w:t xml:space="preserve">у </w:t>
                  </w:r>
                  <w:r>
                    <w:rPr>
                      <w:lang w:val="ru-RU"/>
                    </w:rPr>
                    <w:t>Јагодини</w:t>
                  </w:r>
                </w:p>
              </w:tc>
              <w:tc>
                <w:tcPr>
                  <w:tcW w:w="2321" w:type="dxa"/>
                  <w:vMerge/>
                  <w:vAlign w:val="center"/>
                </w:tcPr>
                <w:p w14:paraId="6D0E4BCC" w14:textId="77777777" w:rsidR="003939CA" w:rsidRPr="0082465B" w:rsidRDefault="003939CA" w:rsidP="003939CA">
                  <w:pPr>
                    <w:rPr>
                      <w:lang w:val="ru-RU"/>
                    </w:rPr>
                  </w:pPr>
                </w:p>
              </w:tc>
            </w:tr>
            <w:tr w:rsidR="003939CA" w:rsidRPr="0082465B" w14:paraId="0C304560" w14:textId="77777777" w:rsidTr="003939CA">
              <w:trPr>
                <w:trHeight w:val="227"/>
                <w:jc w:val="center"/>
              </w:trPr>
              <w:tc>
                <w:tcPr>
                  <w:tcW w:w="547" w:type="dxa"/>
                  <w:vMerge/>
                  <w:shd w:val="clear" w:color="auto" w:fill="F3F3F3"/>
                  <w:vAlign w:val="center"/>
                </w:tcPr>
                <w:p w14:paraId="128FEEA4" w14:textId="77777777" w:rsidR="003939CA" w:rsidRPr="0082465B" w:rsidRDefault="003939CA" w:rsidP="003939CA">
                  <w:pPr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3419" w:type="dxa"/>
                  <w:shd w:val="clear" w:color="auto" w:fill="auto"/>
                  <w:vAlign w:val="center"/>
                </w:tcPr>
                <w:p w14:paraId="36C2BA48" w14:textId="77777777" w:rsidR="003939CA" w:rsidRPr="00F6210E" w:rsidRDefault="003939CA" w:rsidP="003939CA">
                  <w:pPr>
                    <w:jc w:val="center"/>
                    <w:rPr>
                      <w:color w:val="999999"/>
                      <w:lang w:val="ru-RU"/>
                    </w:rPr>
                  </w:pPr>
                  <w:r w:rsidRPr="00F6210E">
                    <w:rPr>
                      <w:color w:val="999999"/>
                      <w:lang w:val="ru-RU"/>
                    </w:rPr>
                    <w:t>(Научна област)</w:t>
                  </w:r>
                </w:p>
              </w:tc>
              <w:tc>
                <w:tcPr>
                  <w:tcW w:w="4499" w:type="dxa"/>
                  <w:gridSpan w:val="2"/>
                  <w:shd w:val="clear" w:color="auto" w:fill="auto"/>
                  <w:vAlign w:val="center"/>
                </w:tcPr>
                <w:p w14:paraId="6771388A" w14:textId="77777777" w:rsidR="003939CA" w:rsidRPr="00F6210E" w:rsidRDefault="003939CA" w:rsidP="003F7DC8">
                  <w:pPr>
                    <w:rPr>
                      <w:color w:val="999999"/>
                      <w:lang w:val="ru-RU"/>
                    </w:rPr>
                  </w:pPr>
                  <w:r w:rsidRPr="00F6210E">
                    <w:rPr>
                      <w:color w:val="999999"/>
                      <w:lang w:val="ru-RU"/>
                    </w:rPr>
                    <w:t>(Установа у којој је запослен)</w:t>
                  </w:r>
                </w:p>
              </w:tc>
              <w:tc>
                <w:tcPr>
                  <w:tcW w:w="2321" w:type="dxa"/>
                  <w:vMerge/>
                  <w:vAlign w:val="center"/>
                </w:tcPr>
                <w:p w14:paraId="7D9304E8" w14:textId="77777777" w:rsidR="003939CA" w:rsidRPr="0082465B" w:rsidRDefault="003939CA" w:rsidP="003939CA">
                  <w:pPr>
                    <w:rPr>
                      <w:lang w:val="ru-RU"/>
                    </w:rPr>
                  </w:pPr>
                </w:p>
              </w:tc>
            </w:tr>
          </w:tbl>
          <w:p w14:paraId="32E2288D" w14:textId="77777777" w:rsidR="0085067D" w:rsidRPr="00F6210E" w:rsidRDefault="0085067D" w:rsidP="0085067D">
            <w:pPr>
              <w:rPr>
                <w:b/>
                <w:lang w:val="ru-RU"/>
              </w:rPr>
            </w:pPr>
          </w:p>
          <w:p w14:paraId="293A774D" w14:textId="77777777" w:rsidR="0085067D" w:rsidRPr="00F6210E" w:rsidRDefault="0085067D" w:rsidP="00C20CAA">
            <w:pPr>
              <w:tabs>
                <w:tab w:val="left" w:pos="6660"/>
              </w:tabs>
              <w:autoSpaceDE w:val="0"/>
              <w:autoSpaceDN w:val="0"/>
              <w:adjustRightInd w:val="0"/>
              <w:spacing w:line="360" w:lineRule="auto"/>
              <w:ind w:right="3595"/>
              <w:rPr>
                <w:rFonts w:eastAsia="TimesNewRomanPS-BoldMT"/>
                <w:bCs/>
                <w:lang w:val="sr-Cyrl-CS"/>
              </w:rPr>
            </w:pPr>
            <w:r w:rsidRPr="00F6210E">
              <w:rPr>
                <w:rFonts w:eastAsia="TimesNewRomanPS-BoldMT"/>
                <w:bCs/>
                <w:lang w:val="sr-Cyrl-CS"/>
              </w:rPr>
              <w:t>Датум и место:</w:t>
            </w:r>
          </w:p>
          <w:p w14:paraId="42FF82CA" w14:textId="77777777" w:rsidR="0085067D" w:rsidRPr="00F6210E" w:rsidRDefault="00C20CAA" w:rsidP="00C20CAA">
            <w:pPr>
              <w:tabs>
                <w:tab w:val="left" w:pos="6660"/>
              </w:tabs>
              <w:autoSpaceDE w:val="0"/>
              <w:autoSpaceDN w:val="0"/>
              <w:adjustRightInd w:val="0"/>
              <w:spacing w:line="360" w:lineRule="auto"/>
              <w:ind w:right="3595"/>
              <w:rPr>
                <w:rFonts w:eastAsia="TimesNewRomanPS-BoldMT"/>
                <w:bCs/>
                <w:lang w:val="sr-Cyrl-CS"/>
              </w:rPr>
            </w:pPr>
            <w:r w:rsidRPr="00F6210E">
              <w:rPr>
                <w:rFonts w:eastAsia="TimesNewRomanPS-BoldMT"/>
                <w:bCs/>
                <w:lang w:val="sr-Cyrl-CS"/>
              </w:rPr>
              <w:t>25. 9. 2021. године, Ниш</w:t>
            </w:r>
          </w:p>
        </w:tc>
      </w:tr>
    </w:tbl>
    <w:p w14:paraId="1B191B15" w14:textId="77777777" w:rsidR="00C351F5" w:rsidRDefault="00C351F5" w:rsidP="00C20CAA"/>
    <w:sectPr w:rsidR="00C351F5" w:rsidSect="00EA0590"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bonLT-Roman">
    <w:altName w:val="Times New Roman"/>
    <w:panose1 w:val="00000000000000000000"/>
    <w:charset w:val="00"/>
    <w:family w:val="roman"/>
    <w:notTrueType/>
    <w:pitch w:val="default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90"/>
    <w:rsid w:val="00006F76"/>
    <w:rsid w:val="0001579C"/>
    <w:rsid w:val="000237B0"/>
    <w:rsid w:val="0002441D"/>
    <w:rsid w:val="00027524"/>
    <w:rsid w:val="00037810"/>
    <w:rsid w:val="00040988"/>
    <w:rsid w:val="00041E41"/>
    <w:rsid w:val="000524B8"/>
    <w:rsid w:val="0005426B"/>
    <w:rsid w:val="00054D22"/>
    <w:rsid w:val="00056C23"/>
    <w:rsid w:val="00057BEC"/>
    <w:rsid w:val="0006668B"/>
    <w:rsid w:val="00072561"/>
    <w:rsid w:val="0007450C"/>
    <w:rsid w:val="00074BA3"/>
    <w:rsid w:val="00077388"/>
    <w:rsid w:val="00093EDE"/>
    <w:rsid w:val="000A282B"/>
    <w:rsid w:val="000A37DD"/>
    <w:rsid w:val="000A4564"/>
    <w:rsid w:val="000B1CEC"/>
    <w:rsid w:val="000B5DCD"/>
    <w:rsid w:val="000C3037"/>
    <w:rsid w:val="000C517B"/>
    <w:rsid w:val="000C7175"/>
    <w:rsid w:val="000E1D84"/>
    <w:rsid w:val="000E202A"/>
    <w:rsid w:val="000E6523"/>
    <w:rsid w:val="000F42C9"/>
    <w:rsid w:val="00102660"/>
    <w:rsid w:val="00104D3C"/>
    <w:rsid w:val="00117D97"/>
    <w:rsid w:val="00122BB3"/>
    <w:rsid w:val="00155237"/>
    <w:rsid w:val="0016069F"/>
    <w:rsid w:val="00163C81"/>
    <w:rsid w:val="00166597"/>
    <w:rsid w:val="001702AE"/>
    <w:rsid w:val="00173E8E"/>
    <w:rsid w:val="00175595"/>
    <w:rsid w:val="00180F1E"/>
    <w:rsid w:val="00181E00"/>
    <w:rsid w:val="0018324A"/>
    <w:rsid w:val="00184EBC"/>
    <w:rsid w:val="00193CD5"/>
    <w:rsid w:val="001E4F8A"/>
    <w:rsid w:val="001E736F"/>
    <w:rsid w:val="002162C9"/>
    <w:rsid w:val="00236724"/>
    <w:rsid w:val="00240606"/>
    <w:rsid w:val="00247101"/>
    <w:rsid w:val="00251629"/>
    <w:rsid w:val="0025460E"/>
    <w:rsid w:val="00262769"/>
    <w:rsid w:val="00264A11"/>
    <w:rsid w:val="002675B3"/>
    <w:rsid w:val="00267F77"/>
    <w:rsid w:val="0027589E"/>
    <w:rsid w:val="002804BD"/>
    <w:rsid w:val="00286E2B"/>
    <w:rsid w:val="002911B6"/>
    <w:rsid w:val="002927EB"/>
    <w:rsid w:val="00293EC0"/>
    <w:rsid w:val="00294B84"/>
    <w:rsid w:val="002A1145"/>
    <w:rsid w:val="002A2EF8"/>
    <w:rsid w:val="002B5E87"/>
    <w:rsid w:val="002C016F"/>
    <w:rsid w:val="002C0C2F"/>
    <w:rsid w:val="002C3691"/>
    <w:rsid w:val="002D170C"/>
    <w:rsid w:val="002E33B2"/>
    <w:rsid w:val="00307A8A"/>
    <w:rsid w:val="0031017D"/>
    <w:rsid w:val="003114FA"/>
    <w:rsid w:val="003244ED"/>
    <w:rsid w:val="00327C6A"/>
    <w:rsid w:val="00335854"/>
    <w:rsid w:val="00337B29"/>
    <w:rsid w:val="00341CFA"/>
    <w:rsid w:val="00344242"/>
    <w:rsid w:val="0034641F"/>
    <w:rsid w:val="00347CBA"/>
    <w:rsid w:val="00355315"/>
    <w:rsid w:val="00360FD8"/>
    <w:rsid w:val="00367E03"/>
    <w:rsid w:val="003741EB"/>
    <w:rsid w:val="00376DA4"/>
    <w:rsid w:val="00384C15"/>
    <w:rsid w:val="003939CA"/>
    <w:rsid w:val="003A103B"/>
    <w:rsid w:val="003A1891"/>
    <w:rsid w:val="003A30CE"/>
    <w:rsid w:val="003B56A2"/>
    <w:rsid w:val="003C2F76"/>
    <w:rsid w:val="003C49C3"/>
    <w:rsid w:val="003C6238"/>
    <w:rsid w:val="003D23C5"/>
    <w:rsid w:val="003D28BB"/>
    <w:rsid w:val="003E22D0"/>
    <w:rsid w:val="003E4B81"/>
    <w:rsid w:val="003F7913"/>
    <w:rsid w:val="003F7DC8"/>
    <w:rsid w:val="004038AE"/>
    <w:rsid w:val="00405FB4"/>
    <w:rsid w:val="0042344C"/>
    <w:rsid w:val="0043650F"/>
    <w:rsid w:val="004372C2"/>
    <w:rsid w:val="004379C2"/>
    <w:rsid w:val="004415B2"/>
    <w:rsid w:val="00442578"/>
    <w:rsid w:val="00451BEA"/>
    <w:rsid w:val="00454603"/>
    <w:rsid w:val="00461D9F"/>
    <w:rsid w:val="004672F7"/>
    <w:rsid w:val="00471A5C"/>
    <w:rsid w:val="00481A02"/>
    <w:rsid w:val="004946B4"/>
    <w:rsid w:val="0049543A"/>
    <w:rsid w:val="00497D23"/>
    <w:rsid w:val="004A7553"/>
    <w:rsid w:val="004B0226"/>
    <w:rsid w:val="004B0A64"/>
    <w:rsid w:val="004C6849"/>
    <w:rsid w:val="004C79D3"/>
    <w:rsid w:val="004D4DDB"/>
    <w:rsid w:val="004E11C2"/>
    <w:rsid w:val="004F003D"/>
    <w:rsid w:val="00510ABD"/>
    <w:rsid w:val="00517A85"/>
    <w:rsid w:val="005205F0"/>
    <w:rsid w:val="005316BB"/>
    <w:rsid w:val="005327FA"/>
    <w:rsid w:val="00535CDD"/>
    <w:rsid w:val="005369BC"/>
    <w:rsid w:val="0055613D"/>
    <w:rsid w:val="005570F7"/>
    <w:rsid w:val="00561771"/>
    <w:rsid w:val="00561E3B"/>
    <w:rsid w:val="00562A24"/>
    <w:rsid w:val="0056378B"/>
    <w:rsid w:val="005651AB"/>
    <w:rsid w:val="0056546E"/>
    <w:rsid w:val="00577B22"/>
    <w:rsid w:val="00582DEF"/>
    <w:rsid w:val="0058551A"/>
    <w:rsid w:val="0058617B"/>
    <w:rsid w:val="00586970"/>
    <w:rsid w:val="0058745C"/>
    <w:rsid w:val="0059595B"/>
    <w:rsid w:val="00597CCE"/>
    <w:rsid w:val="005B676F"/>
    <w:rsid w:val="005C2657"/>
    <w:rsid w:val="005C6735"/>
    <w:rsid w:val="005D0208"/>
    <w:rsid w:val="005D306F"/>
    <w:rsid w:val="005D60F7"/>
    <w:rsid w:val="005D7D0D"/>
    <w:rsid w:val="005E0159"/>
    <w:rsid w:val="005E3B51"/>
    <w:rsid w:val="005E789C"/>
    <w:rsid w:val="005F4A9D"/>
    <w:rsid w:val="005F577B"/>
    <w:rsid w:val="005F69BB"/>
    <w:rsid w:val="00601677"/>
    <w:rsid w:val="006030FA"/>
    <w:rsid w:val="0062308C"/>
    <w:rsid w:val="00623AE9"/>
    <w:rsid w:val="00624511"/>
    <w:rsid w:val="00624E0F"/>
    <w:rsid w:val="00633CF9"/>
    <w:rsid w:val="00635370"/>
    <w:rsid w:val="00641A05"/>
    <w:rsid w:val="00647C9F"/>
    <w:rsid w:val="00664B81"/>
    <w:rsid w:val="00670190"/>
    <w:rsid w:val="00693052"/>
    <w:rsid w:val="00695CC6"/>
    <w:rsid w:val="00695E01"/>
    <w:rsid w:val="006A2630"/>
    <w:rsid w:val="006A4C9B"/>
    <w:rsid w:val="006B2789"/>
    <w:rsid w:val="006B297E"/>
    <w:rsid w:val="006C5C1C"/>
    <w:rsid w:val="006D618A"/>
    <w:rsid w:val="006E1F66"/>
    <w:rsid w:val="006F00F4"/>
    <w:rsid w:val="006F2A01"/>
    <w:rsid w:val="006F493F"/>
    <w:rsid w:val="00716326"/>
    <w:rsid w:val="00716E41"/>
    <w:rsid w:val="007240FD"/>
    <w:rsid w:val="007269DF"/>
    <w:rsid w:val="007345B1"/>
    <w:rsid w:val="00747E62"/>
    <w:rsid w:val="00754719"/>
    <w:rsid w:val="007557C4"/>
    <w:rsid w:val="007610E7"/>
    <w:rsid w:val="0076345F"/>
    <w:rsid w:val="00771059"/>
    <w:rsid w:val="00771A18"/>
    <w:rsid w:val="00772E4C"/>
    <w:rsid w:val="00776150"/>
    <w:rsid w:val="00782EC3"/>
    <w:rsid w:val="00783D4E"/>
    <w:rsid w:val="007B2CC9"/>
    <w:rsid w:val="007B4DF7"/>
    <w:rsid w:val="007C6F2F"/>
    <w:rsid w:val="007D0402"/>
    <w:rsid w:val="007D08FF"/>
    <w:rsid w:val="007D1037"/>
    <w:rsid w:val="007D72D2"/>
    <w:rsid w:val="007E0869"/>
    <w:rsid w:val="007E14DF"/>
    <w:rsid w:val="007E1D41"/>
    <w:rsid w:val="007E6ACF"/>
    <w:rsid w:val="007F075C"/>
    <w:rsid w:val="007F3240"/>
    <w:rsid w:val="007F37FA"/>
    <w:rsid w:val="007F4AFD"/>
    <w:rsid w:val="00801D7C"/>
    <w:rsid w:val="0080352A"/>
    <w:rsid w:val="00807747"/>
    <w:rsid w:val="00821AB0"/>
    <w:rsid w:val="00822ADF"/>
    <w:rsid w:val="00827382"/>
    <w:rsid w:val="00830DB7"/>
    <w:rsid w:val="008360F4"/>
    <w:rsid w:val="00837D78"/>
    <w:rsid w:val="00844B76"/>
    <w:rsid w:val="0085067D"/>
    <w:rsid w:val="00862F4B"/>
    <w:rsid w:val="00871142"/>
    <w:rsid w:val="008722EB"/>
    <w:rsid w:val="00872A56"/>
    <w:rsid w:val="0087531D"/>
    <w:rsid w:val="0088120A"/>
    <w:rsid w:val="00882294"/>
    <w:rsid w:val="00885194"/>
    <w:rsid w:val="008B1BBC"/>
    <w:rsid w:val="008B20E5"/>
    <w:rsid w:val="008B2D82"/>
    <w:rsid w:val="008B615D"/>
    <w:rsid w:val="008B774D"/>
    <w:rsid w:val="008B7C9C"/>
    <w:rsid w:val="008C3F77"/>
    <w:rsid w:val="008D05A3"/>
    <w:rsid w:val="008D70B1"/>
    <w:rsid w:val="008E1439"/>
    <w:rsid w:val="008E7900"/>
    <w:rsid w:val="00900D14"/>
    <w:rsid w:val="00901B5E"/>
    <w:rsid w:val="00911CA9"/>
    <w:rsid w:val="00913D4F"/>
    <w:rsid w:val="009168A2"/>
    <w:rsid w:val="00916EE0"/>
    <w:rsid w:val="009224D3"/>
    <w:rsid w:val="00924678"/>
    <w:rsid w:val="00926259"/>
    <w:rsid w:val="009321BA"/>
    <w:rsid w:val="00935040"/>
    <w:rsid w:val="009355F0"/>
    <w:rsid w:val="00942F74"/>
    <w:rsid w:val="00957B37"/>
    <w:rsid w:val="00961D74"/>
    <w:rsid w:val="00970B9F"/>
    <w:rsid w:val="009716CE"/>
    <w:rsid w:val="00983D94"/>
    <w:rsid w:val="009858D4"/>
    <w:rsid w:val="009974A1"/>
    <w:rsid w:val="009A0F32"/>
    <w:rsid w:val="009B2014"/>
    <w:rsid w:val="009B35F7"/>
    <w:rsid w:val="009B7386"/>
    <w:rsid w:val="009C43A6"/>
    <w:rsid w:val="009C6E39"/>
    <w:rsid w:val="009E1B95"/>
    <w:rsid w:val="00A1415F"/>
    <w:rsid w:val="00A17B63"/>
    <w:rsid w:val="00A245FF"/>
    <w:rsid w:val="00A30574"/>
    <w:rsid w:val="00A41424"/>
    <w:rsid w:val="00A4289E"/>
    <w:rsid w:val="00A502F5"/>
    <w:rsid w:val="00A650FF"/>
    <w:rsid w:val="00A8050D"/>
    <w:rsid w:val="00A86992"/>
    <w:rsid w:val="00AA07F1"/>
    <w:rsid w:val="00AA23AE"/>
    <w:rsid w:val="00AA2459"/>
    <w:rsid w:val="00AA4C76"/>
    <w:rsid w:val="00AB090E"/>
    <w:rsid w:val="00AB1F60"/>
    <w:rsid w:val="00AC1F98"/>
    <w:rsid w:val="00AD4B60"/>
    <w:rsid w:val="00AD4EBE"/>
    <w:rsid w:val="00AE5776"/>
    <w:rsid w:val="00AF32A5"/>
    <w:rsid w:val="00AF6E5F"/>
    <w:rsid w:val="00B069C9"/>
    <w:rsid w:val="00B06BD8"/>
    <w:rsid w:val="00B11F40"/>
    <w:rsid w:val="00B2084D"/>
    <w:rsid w:val="00B352A9"/>
    <w:rsid w:val="00B36020"/>
    <w:rsid w:val="00B361C1"/>
    <w:rsid w:val="00B60404"/>
    <w:rsid w:val="00B758A4"/>
    <w:rsid w:val="00B77A83"/>
    <w:rsid w:val="00B80AC1"/>
    <w:rsid w:val="00B84698"/>
    <w:rsid w:val="00B86B10"/>
    <w:rsid w:val="00BA040E"/>
    <w:rsid w:val="00BA070D"/>
    <w:rsid w:val="00BB2012"/>
    <w:rsid w:val="00BB2C15"/>
    <w:rsid w:val="00BB3A77"/>
    <w:rsid w:val="00BB770D"/>
    <w:rsid w:val="00BC48DE"/>
    <w:rsid w:val="00BC4B65"/>
    <w:rsid w:val="00BD3020"/>
    <w:rsid w:val="00BE3635"/>
    <w:rsid w:val="00BF1831"/>
    <w:rsid w:val="00C0528A"/>
    <w:rsid w:val="00C20BFD"/>
    <w:rsid w:val="00C20CAA"/>
    <w:rsid w:val="00C351F5"/>
    <w:rsid w:val="00C4301A"/>
    <w:rsid w:val="00C52758"/>
    <w:rsid w:val="00C570B9"/>
    <w:rsid w:val="00C626D8"/>
    <w:rsid w:val="00C6648E"/>
    <w:rsid w:val="00C7614E"/>
    <w:rsid w:val="00C806F2"/>
    <w:rsid w:val="00C93557"/>
    <w:rsid w:val="00C97047"/>
    <w:rsid w:val="00CA073B"/>
    <w:rsid w:val="00CA39C7"/>
    <w:rsid w:val="00CB2BC0"/>
    <w:rsid w:val="00CC17F9"/>
    <w:rsid w:val="00CC6A21"/>
    <w:rsid w:val="00CE124E"/>
    <w:rsid w:val="00CE5CB7"/>
    <w:rsid w:val="00CF7052"/>
    <w:rsid w:val="00D01860"/>
    <w:rsid w:val="00D025AE"/>
    <w:rsid w:val="00D12A49"/>
    <w:rsid w:val="00D262DE"/>
    <w:rsid w:val="00D30B86"/>
    <w:rsid w:val="00D30F5A"/>
    <w:rsid w:val="00D41C6D"/>
    <w:rsid w:val="00D42232"/>
    <w:rsid w:val="00D43631"/>
    <w:rsid w:val="00D454B6"/>
    <w:rsid w:val="00D45F89"/>
    <w:rsid w:val="00D60EED"/>
    <w:rsid w:val="00D713A5"/>
    <w:rsid w:val="00D80EB1"/>
    <w:rsid w:val="00D83697"/>
    <w:rsid w:val="00D8451A"/>
    <w:rsid w:val="00DA59FA"/>
    <w:rsid w:val="00DA6FC4"/>
    <w:rsid w:val="00DB40AA"/>
    <w:rsid w:val="00DB5BF4"/>
    <w:rsid w:val="00DC3893"/>
    <w:rsid w:val="00DC4456"/>
    <w:rsid w:val="00DC5837"/>
    <w:rsid w:val="00DC67A7"/>
    <w:rsid w:val="00DE4333"/>
    <w:rsid w:val="00DE4B5A"/>
    <w:rsid w:val="00DE6412"/>
    <w:rsid w:val="00DF6929"/>
    <w:rsid w:val="00E066FD"/>
    <w:rsid w:val="00E27D77"/>
    <w:rsid w:val="00E30825"/>
    <w:rsid w:val="00E31630"/>
    <w:rsid w:val="00E32308"/>
    <w:rsid w:val="00E3252D"/>
    <w:rsid w:val="00E52383"/>
    <w:rsid w:val="00E76FF7"/>
    <w:rsid w:val="00E82DF9"/>
    <w:rsid w:val="00E843E1"/>
    <w:rsid w:val="00E94BC3"/>
    <w:rsid w:val="00E97321"/>
    <w:rsid w:val="00EA0590"/>
    <w:rsid w:val="00EA1B16"/>
    <w:rsid w:val="00EA4422"/>
    <w:rsid w:val="00EA6BFF"/>
    <w:rsid w:val="00EA7C97"/>
    <w:rsid w:val="00EC0EAE"/>
    <w:rsid w:val="00ED4565"/>
    <w:rsid w:val="00ED4966"/>
    <w:rsid w:val="00EE2189"/>
    <w:rsid w:val="00EE6C29"/>
    <w:rsid w:val="00EF4B28"/>
    <w:rsid w:val="00EF630C"/>
    <w:rsid w:val="00F00BE7"/>
    <w:rsid w:val="00F01D19"/>
    <w:rsid w:val="00F07683"/>
    <w:rsid w:val="00F1448F"/>
    <w:rsid w:val="00F1733C"/>
    <w:rsid w:val="00F20A8B"/>
    <w:rsid w:val="00F416D6"/>
    <w:rsid w:val="00F417EE"/>
    <w:rsid w:val="00F42AF0"/>
    <w:rsid w:val="00F451B6"/>
    <w:rsid w:val="00F5418A"/>
    <w:rsid w:val="00F566DA"/>
    <w:rsid w:val="00F6210E"/>
    <w:rsid w:val="00F66828"/>
    <w:rsid w:val="00F82264"/>
    <w:rsid w:val="00F93B76"/>
    <w:rsid w:val="00FA29A3"/>
    <w:rsid w:val="00FA5188"/>
    <w:rsid w:val="00FA5EE6"/>
    <w:rsid w:val="00FA7224"/>
    <w:rsid w:val="00FB35AD"/>
    <w:rsid w:val="00FE4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00282"/>
  <w15:chartTrackingRefBased/>
  <w15:docId w15:val="{9411D3C1-0612-5B4B-B99F-B8B09AB1B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590"/>
    <w:pPr>
      <w:jc w:val="both"/>
    </w:pPr>
    <w:rPr>
      <w:rFonts w:ascii="Times New Roman" w:eastAsia="Times New Roman" w:hAnsi="Times New Roman"/>
      <w:sz w:val="22"/>
      <w:szCs w:val="22"/>
      <w:lang w:val="sr-Latn-CS" w:eastAsia="en-US"/>
    </w:rPr>
  </w:style>
  <w:style w:type="paragraph" w:styleId="Heading2">
    <w:name w:val="heading 2"/>
    <w:basedOn w:val="Normal"/>
    <w:link w:val="Heading2Char"/>
    <w:uiPriority w:val="9"/>
    <w:qFormat/>
    <w:rsid w:val="0018324A"/>
    <w:pPr>
      <w:spacing w:before="100" w:beforeAutospacing="1" w:after="100" w:afterAutospacing="1"/>
      <w:jc w:val="left"/>
      <w:outlineLvl w:val="1"/>
    </w:pPr>
    <w:rPr>
      <w:b/>
      <w:bCs/>
      <w:sz w:val="36"/>
      <w:szCs w:val="36"/>
      <w:lang w:val="en-U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18324A"/>
    <w:rPr>
      <w:rFonts w:ascii="Times New Roman" w:eastAsia="Times New Roman" w:hAnsi="Times New Roman"/>
      <w:b/>
      <w:bCs/>
      <w:sz w:val="36"/>
      <w:szCs w:val="36"/>
      <w:lang w:eastAsia="sr-Cyrl-CS"/>
    </w:rPr>
  </w:style>
  <w:style w:type="character" w:styleId="Hyperlink">
    <w:name w:val="Hyperlink"/>
    <w:rsid w:val="0018324A"/>
    <w:rPr>
      <w:color w:val="0000FF"/>
      <w:u w:val="single"/>
    </w:rPr>
  </w:style>
  <w:style w:type="character" w:customStyle="1" w:styleId="InternetLink">
    <w:name w:val="Internet Link"/>
    <w:rsid w:val="000237B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237B0"/>
    <w:pPr>
      <w:spacing w:after="200" w:line="276" w:lineRule="auto"/>
      <w:ind w:left="720"/>
      <w:contextualSpacing/>
      <w:jc w:val="left"/>
    </w:pPr>
    <w:rPr>
      <w:rFonts w:ascii="Calibri" w:eastAsia="Calibri" w:hAnsi="Calibri"/>
    </w:rPr>
  </w:style>
  <w:style w:type="character" w:customStyle="1" w:styleId="fontstyle01">
    <w:name w:val="fontstyle01"/>
    <w:rsid w:val="00830DB7"/>
    <w:rPr>
      <w:rFonts w:ascii="SabonLT-Roman" w:hAnsi="SabonLT-Roman" w:hint="default"/>
      <w:b w:val="0"/>
      <w:bCs w:val="0"/>
      <w:i w:val="0"/>
      <w:iCs w:val="0"/>
      <w:color w:val="231F20"/>
      <w:sz w:val="20"/>
      <w:szCs w:val="20"/>
    </w:rPr>
  </w:style>
  <w:style w:type="character" w:styleId="UnresolvedMention">
    <w:name w:val="Unresolved Mention"/>
    <w:uiPriority w:val="99"/>
    <w:semiHidden/>
    <w:unhideWhenUsed/>
    <w:rsid w:val="009168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https://doi.org/10.15516/cje.v15i0.27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i.org/10.18844/wjet.v13i2.5651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elena.maksimovic@filfak.ni.ac.r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i.org/10.22190/FUTLTE2002147M" TargetMode="External"/><Relationship Id="rId10" Type="http://schemas.openxmlformats.org/officeDocument/2006/relationships/hyperlink" Target="https://doi.org/10.5937/IJCRSEE1902001M" TargetMode="External"/><Relationship Id="rId4" Type="http://schemas.openxmlformats.org/officeDocument/2006/relationships/hyperlink" Target="https://doi.org/10.22190/TEME190116074N" TargetMode="External"/><Relationship Id="rId9" Type="http://schemas.openxmlformats.org/officeDocument/2006/relationships/hyperlink" Target="https://doi.org/10.22190/FUPES180720034M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5684</Words>
  <Characters>32400</Characters>
  <Application>Microsoft Office Word</Application>
  <DocSecurity>0</DocSecurity>
  <Lines>270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38008</CharactersWithSpaces>
  <SharedDoc>false</SharedDoc>
  <HLinks>
    <vt:vector size="60" baseType="variant">
      <vt:variant>
        <vt:i4>1835077</vt:i4>
      </vt:variant>
      <vt:variant>
        <vt:i4>27</vt:i4>
      </vt:variant>
      <vt:variant>
        <vt:i4>0</vt:i4>
      </vt:variant>
      <vt:variant>
        <vt:i4>5</vt:i4>
      </vt:variant>
      <vt:variant>
        <vt:lpwstr>https://doi.org/10.17810/2015.35 </vt:lpwstr>
      </vt:variant>
      <vt:variant>
        <vt:lpwstr/>
      </vt:variant>
      <vt:variant>
        <vt:i4>7209074</vt:i4>
      </vt:variant>
      <vt:variant>
        <vt:i4>24</vt:i4>
      </vt:variant>
      <vt:variant>
        <vt:i4>0</vt:i4>
      </vt:variant>
      <vt:variant>
        <vt:i4>5</vt:i4>
      </vt:variant>
      <vt:variant>
        <vt:lpwstr>https://doi.org/10.5937/ijcrsee1802107S</vt:lpwstr>
      </vt:variant>
      <vt:variant>
        <vt:lpwstr/>
      </vt:variant>
      <vt:variant>
        <vt:i4>6881395</vt:i4>
      </vt:variant>
      <vt:variant>
        <vt:i4>21</vt:i4>
      </vt:variant>
      <vt:variant>
        <vt:i4>0</vt:i4>
      </vt:variant>
      <vt:variant>
        <vt:i4>5</vt:i4>
      </vt:variant>
      <vt:variant>
        <vt:lpwstr>https://doi.org/10.5937/IJCRSEE1902001M</vt:lpwstr>
      </vt:variant>
      <vt:variant>
        <vt:lpwstr/>
      </vt:variant>
      <vt:variant>
        <vt:i4>655449</vt:i4>
      </vt:variant>
      <vt:variant>
        <vt:i4>18</vt:i4>
      </vt:variant>
      <vt:variant>
        <vt:i4>0</vt:i4>
      </vt:variant>
      <vt:variant>
        <vt:i4>5</vt:i4>
      </vt:variant>
      <vt:variant>
        <vt:lpwstr>https://doi.org/10.22190/FUPES180720034M</vt:lpwstr>
      </vt:variant>
      <vt:variant>
        <vt:lpwstr/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https://doi.org/https://doi.org/10.15516/cje.v15i0.270</vt:lpwstr>
      </vt:variant>
      <vt:variant>
        <vt:lpwstr/>
      </vt:variant>
      <vt:variant>
        <vt:i4>4128823</vt:i4>
      </vt:variant>
      <vt:variant>
        <vt:i4>12</vt:i4>
      </vt:variant>
      <vt:variant>
        <vt:i4>0</vt:i4>
      </vt:variant>
      <vt:variant>
        <vt:i4>5</vt:i4>
      </vt:variant>
      <vt:variant>
        <vt:lpwstr>https://www.sodobna-pedagogika.net/en/archive/load-article/?id=1463</vt:lpwstr>
      </vt:variant>
      <vt:variant>
        <vt:lpwstr/>
      </vt:variant>
      <vt:variant>
        <vt:i4>5046288</vt:i4>
      </vt:variant>
      <vt:variant>
        <vt:i4>9</vt:i4>
      </vt:variant>
      <vt:variant>
        <vt:i4>0</vt:i4>
      </vt:variant>
      <vt:variant>
        <vt:i4>5</vt:i4>
      </vt:variant>
      <vt:variant>
        <vt:lpwstr>https://doi.org/10.18844/wjet.v13i2.5651</vt:lpwstr>
      </vt:variant>
      <vt:variant>
        <vt:lpwstr/>
      </vt:variant>
      <vt:variant>
        <vt:i4>6160439</vt:i4>
      </vt:variant>
      <vt:variant>
        <vt:i4>6</vt:i4>
      </vt:variant>
      <vt:variant>
        <vt:i4>0</vt:i4>
      </vt:variant>
      <vt:variant>
        <vt:i4>5</vt:i4>
      </vt:variant>
      <vt:variant>
        <vt:lpwstr>mailto:jelena.maksimovic@filfak.ni.ac.rs</vt:lpwstr>
      </vt:variant>
      <vt:variant>
        <vt:lpwstr/>
      </vt:variant>
      <vt:variant>
        <vt:i4>7077940</vt:i4>
      </vt:variant>
      <vt:variant>
        <vt:i4>3</vt:i4>
      </vt:variant>
      <vt:variant>
        <vt:i4>0</vt:i4>
      </vt:variant>
      <vt:variant>
        <vt:i4>5</vt:i4>
      </vt:variant>
      <vt:variant>
        <vt:lpwstr>https://doi.org/10.22190/FUTLTE2002147M</vt:lpwstr>
      </vt:variant>
      <vt:variant>
        <vt:lpwstr/>
      </vt:variant>
      <vt:variant>
        <vt:i4>2293879</vt:i4>
      </vt:variant>
      <vt:variant>
        <vt:i4>0</vt:i4>
      </vt:variant>
      <vt:variant>
        <vt:i4>0</vt:i4>
      </vt:variant>
      <vt:variant>
        <vt:i4>5</vt:i4>
      </vt:variant>
      <vt:variant>
        <vt:lpwstr>https://doi.org/10.22190/TEME190116074N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Andjelic</dc:creator>
  <cp:keywords/>
  <cp:lastModifiedBy>Snežana Miljković</cp:lastModifiedBy>
  <cp:revision>2</cp:revision>
  <cp:lastPrinted>2021-09-20T15:34:00Z</cp:lastPrinted>
  <dcterms:created xsi:type="dcterms:W3CDTF">2021-10-06T11:45:00Z</dcterms:created>
  <dcterms:modified xsi:type="dcterms:W3CDTF">2021-10-06T11:45:00Z</dcterms:modified>
</cp:coreProperties>
</file>